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75559E6" w14:textId="50714660" w:rsidR="00B64E06" w:rsidRDefault="00B64E06" w:rsidP="00B64E06">
      <w:pPr>
        <w:widowControl w:val="0"/>
        <w:autoSpaceDE w:val="0"/>
        <w:autoSpaceDN w:val="0"/>
        <w:adjustRightInd w:val="0"/>
        <w:spacing w:after="240" w:line="240" w:lineRule="auto"/>
        <w:rPr>
          <w:rFonts w:ascii="Helvetica" w:hAnsi="Helvetica" w:cs="Helvetica"/>
          <w:b/>
          <w:bCs/>
          <w:color w:val="FC4B08"/>
          <w:sz w:val="24"/>
          <w:szCs w:val="24"/>
          <w:lang w:val="en-US"/>
        </w:rPr>
      </w:pPr>
      <w:r>
        <w:rPr>
          <w:rFonts w:ascii="Helvetica" w:hAnsi="Helvetica" w:cs="Helvetica"/>
          <w:b/>
          <w:bCs/>
          <w:noProof/>
          <w:color w:val="FC4B08"/>
          <w:sz w:val="24"/>
          <w:szCs w:val="24"/>
          <w:lang w:val="en-US"/>
        </w:rPr>
        <mc:AlternateContent>
          <mc:Choice Requires="wps">
            <w:drawing>
              <wp:anchor distT="0" distB="0" distL="114300" distR="114300" simplePos="0" relativeHeight="251659264" behindDoc="0" locked="0" layoutInCell="1" allowOverlap="1" wp14:anchorId="73456970" wp14:editId="23C32B84">
                <wp:simplePos x="0" y="0"/>
                <wp:positionH relativeFrom="margin">
                  <wp:align>right</wp:align>
                </wp:positionH>
                <wp:positionV relativeFrom="paragraph">
                  <wp:posOffset>-1143000</wp:posOffset>
                </wp:positionV>
                <wp:extent cx="2971800" cy="12573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29718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114E29" w14:textId="1D5D31D3" w:rsidR="00B64E06" w:rsidRDefault="005A79F0" w:rsidP="000641D2">
                            <w:pPr>
                              <w:jc w:val="right"/>
                              <w:rPr>
                                <w:b/>
                                <w:color w:val="FF6309"/>
                                <w:sz w:val="40"/>
                                <w:szCs w:val="40"/>
                              </w:rPr>
                            </w:pPr>
                            <w:r>
                              <w:rPr>
                                <w:b/>
                                <w:color w:val="FF6309"/>
                                <w:sz w:val="40"/>
                                <w:szCs w:val="40"/>
                              </w:rPr>
                              <w:t>Briefing</w:t>
                            </w:r>
                            <w:r w:rsidR="00B64E06" w:rsidRPr="00B64E06">
                              <w:rPr>
                                <w:b/>
                                <w:color w:val="FF6309"/>
                                <w:sz w:val="40"/>
                                <w:szCs w:val="40"/>
                              </w:rPr>
                              <w:t>: EU – U.S. Privacy Shield</w:t>
                            </w:r>
                          </w:p>
                          <w:p w14:paraId="597766BA" w14:textId="54ACDA97" w:rsidR="00B64E06" w:rsidRPr="00B64E06" w:rsidRDefault="00B64E06" w:rsidP="000641D2">
                            <w:pPr>
                              <w:jc w:val="right"/>
                              <w:rPr>
                                <w:b/>
                                <w:color w:val="FF6309"/>
                                <w:sz w:val="32"/>
                                <w:szCs w:val="32"/>
                              </w:rPr>
                            </w:pPr>
                            <w:r>
                              <w:rPr>
                                <w:b/>
                                <w:color w:val="FF6309"/>
                                <w:sz w:val="32"/>
                                <w:szCs w:val="32"/>
                              </w:rPr>
                              <w:t>July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182.8pt;margin-top:-89.95pt;width:234pt;height:99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" filled="f" stroked="f">
                <v:textbox>
                  <w:txbxContent>
                    <w:p w14:paraId="5E114E29" w14:textId="1D5D31D3" w:rsidR="00B64E06" w:rsidRDefault="005A79F0" w:rsidP="000641D2">
                      <w:pPr>
                        <w:jc w:val="right"/>
                        <w:rPr>
                          <w:b/>
                          <w:color w:val="FF6309"/>
                          <w:sz w:val="40"/>
                          <w:szCs w:val="40"/>
                        </w:rPr>
                      </w:pPr>
                      <w:r>
                        <w:rPr>
                          <w:b/>
                          <w:color w:val="FF6309"/>
                          <w:sz w:val="40"/>
                          <w:szCs w:val="40"/>
                        </w:rPr>
                        <w:t>Briefing</w:t>
                      </w:r>
                      <w:r w:rsidR="00B64E06" w:rsidRPr="00B64E06">
                        <w:rPr>
                          <w:b/>
                          <w:color w:val="FF6309"/>
                          <w:sz w:val="40"/>
                          <w:szCs w:val="40"/>
                        </w:rPr>
                        <w:t>: EU – U.S. Privacy Shield</w:t>
                      </w:r>
                    </w:p>
                    <w:p w14:paraId="597766BA" w14:textId="54ACDA97" w:rsidR="00B64E06" w:rsidRPr="00B64E06" w:rsidRDefault="00B64E06" w:rsidP="000641D2">
                      <w:pPr>
                        <w:jc w:val="right"/>
                        <w:rPr>
                          <w:b/>
                          <w:color w:val="FF6309"/>
                          <w:sz w:val="32"/>
                          <w:szCs w:val="32"/>
                        </w:rPr>
                      </w:pPr>
                      <w:r>
                        <w:rPr>
                          <w:b/>
                          <w:color w:val="FF6309"/>
                          <w:sz w:val="32"/>
                          <w:szCs w:val="32"/>
                        </w:rPr>
                        <w:t>July 2016</w:t>
                      </w:r>
                    </w:p>
                  </w:txbxContent>
                </v:textbox>
                <w10:wrap type="square" anchorx="margin"/>
              </v:shape>
            </w:pict>
          </mc:Fallback>
        </mc:AlternateContent>
      </w:r>
    </w:p>
    <w:p w14:paraId="3C188573" w14:textId="6E766E45" w:rsidR="00B64E06" w:rsidRPr="003B467D" w:rsidRDefault="00B64E06" w:rsidP="00B64E06">
      <w:pPr>
        <w:widowControl w:val="0"/>
        <w:autoSpaceDE w:val="0"/>
        <w:autoSpaceDN w:val="0"/>
        <w:adjustRightInd w:val="0"/>
        <w:spacing w:after="240" w:line="240" w:lineRule="auto"/>
        <w:rPr>
          <w:rFonts w:ascii="Times" w:hAnsi="Times"/>
          <w:sz w:val="24"/>
          <w:lang w:val="en-US"/>
        </w:rPr>
      </w:pPr>
      <w:r>
        <w:rPr>
          <w:rFonts w:ascii="Helvetica" w:hAnsi="Helvetica" w:cs="Helvetica"/>
          <w:b/>
          <w:bCs/>
          <w:color w:val="FC4B08"/>
          <w:sz w:val="24"/>
          <w:szCs w:val="24"/>
          <w:lang w:val="en-US"/>
        </w:rPr>
        <w:t xml:space="preserve">Q. </w:t>
      </w:r>
      <w:r w:rsidRPr="003B467D">
        <w:rPr>
          <w:rFonts w:ascii="Helvetica" w:hAnsi="Helvetica"/>
          <w:b/>
          <w:color w:val="FC4B08"/>
          <w:sz w:val="24"/>
          <w:lang w:val="en-US"/>
        </w:rPr>
        <w:t xml:space="preserve">What was the Safe </w:t>
      </w:r>
      <w:proofErr w:type="spellStart"/>
      <w:r w:rsidRPr="003B467D">
        <w:rPr>
          <w:rFonts w:ascii="Helvetica" w:hAnsi="Helvetica"/>
          <w:b/>
          <w:color w:val="FC4B08"/>
          <w:sz w:val="24"/>
          <w:lang w:val="en-US"/>
        </w:rPr>
        <w:t>Harbour</w:t>
      </w:r>
      <w:proofErr w:type="spellEnd"/>
      <w:r w:rsidRPr="003B467D">
        <w:rPr>
          <w:rFonts w:ascii="Helvetica" w:hAnsi="Helvetica"/>
          <w:b/>
          <w:color w:val="FC4B08"/>
          <w:sz w:val="24"/>
          <w:lang w:val="en-US"/>
        </w:rPr>
        <w:t xml:space="preserve"> framework?</w:t>
      </w:r>
    </w:p>
    <w:p w14:paraId="13C45B74" w14:textId="77777777" w:rsidR="00B64E06" w:rsidRPr="003B467D" w:rsidRDefault="00B64E06" w:rsidP="00B64E06">
      <w:pPr>
        <w:widowControl w:val="0"/>
        <w:autoSpaceDE w:val="0"/>
        <w:autoSpaceDN w:val="0"/>
        <w:adjustRightInd w:val="0"/>
        <w:spacing w:after="240" w:line="240" w:lineRule="auto"/>
        <w:rPr>
          <w:rFonts w:ascii="Times" w:hAnsi="Times"/>
          <w:sz w:val="24"/>
          <w:lang w:val="en-US"/>
        </w:rPr>
      </w:pPr>
      <w:r w:rsidRPr="003B467D">
        <w:rPr>
          <w:rFonts w:ascii="Arial" w:hAnsi="Arial"/>
          <w:sz w:val="24"/>
          <w:lang w:val="en-US"/>
        </w:rPr>
        <w:t>A.</w:t>
      </w:r>
      <w:r w:rsidRPr="006270F8">
        <w:rPr>
          <w:rFonts w:ascii="Arial" w:hAnsi="Arial" w:cs="Arial"/>
          <w:sz w:val="24"/>
          <w:szCs w:val="24"/>
          <w:lang w:val="en-US"/>
        </w:rPr>
        <w:t xml:space="preserve"> </w:t>
      </w:r>
      <w:r w:rsidRPr="003B467D">
        <w:rPr>
          <w:rFonts w:ascii="Arial" w:hAnsi="Arial"/>
          <w:sz w:val="24"/>
          <w:lang w:val="en-US"/>
        </w:rPr>
        <w:t>The European Data Protection Directive (</w:t>
      </w:r>
      <w:hyperlink r:id="rId9" w:history="1">
        <w:r w:rsidRPr="009255B8">
          <w:rPr>
            <w:rStyle w:val="Hyperlink"/>
            <w:rFonts w:ascii="Arial" w:hAnsi="Arial" w:cs="Arial"/>
            <w:sz w:val="24"/>
            <w:szCs w:val="24"/>
            <w:lang w:val="en-US"/>
          </w:rPr>
          <w:t>Directive 95/46/EC</w:t>
        </w:r>
      </w:hyperlink>
      <w:r w:rsidRPr="003B467D">
        <w:rPr>
          <w:rFonts w:ascii="Arial" w:hAnsi="Arial"/>
          <w:sz w:val="24"/>
          <w:lang w:val="en-US"/>
        </w:rPr>
        <w:t>) generally prohibits the transfer of personal data from the EU to countries outside the European Economic Area (EEA) unless the European Commission (EC) has decided that the data protection rules of the third country provide ‘adequate’ protection in relation to personal data.</w:t>
      </w:r>
    </w:p>
    <w:p w14:paraId="6EF54056" w14:textId="77777777" w:rsidR="00B64E06" w:rsidRPr="003B467D" w:rsidRDefault="00B64E06" w:rsidP="00B64E06">
      <w:pPr>
        <w:widowControl w:val="0"/>
        <w:autoSpaceDE w:val="0"/>
        <w:autoSpaceDN w:val="0"/>
        <w:adjustRightInd w:val="0"/>
        <w:spacing w:after="240" w:line="240" w:lineRule="auto"/>
        <w:rPr>
          <w:rFonts w:ascii="Times" w:hAnsi="Times"/>
          <w:sz w:val="24"/>
          <w:lang w:val="en-US"/>
        </w:rPr>
      </w:pPr>
      <w:r w:rsidRPr="003B467D">
        <w:rPr>
          <w:rFonts w:ascii="Arial" w:hAnsi="Arial"/>
          <w:sz w:val="24"/>
          <w:lang w:val="en-US"/>
        </w:rPr>
        <w:t xml:space="preserve">The European Commission – in consultation with the US Department of Commerce – adopted the Safe </w:t>
      </w:r>
      <w:proofErr w:type="spellStart"/>
      <w:r w:rsidRPr="003B467D">
        <w:rPr>
          <w:rFonts w:ascii="Arial" w:hAnsi="Arial"/>
          <w:sz w:val="24"/>
          <w:lang w:val="en-US"/>
        </w:rPr>
        <w:t>Harbour</w:t>
      </w:r>
      <w:proofErr w:type="spellEnd"/>
      <w:r w:rsidRPr="003B467D">
        <w:rPr>
          <w:rFonts w:ascii="Arial" w:hAnsi="Arial"/>
          <w:sz w:val="24"/>
          <w:lang w:val="en-US"/>
        </w:rPr>
        <w:t xml:space="preserve"> principles (</w:t>
      </w:r>
      <w:hyperlink r:id="rId10" w:history="1">
        <w:r w:rsidRPr="003B467D">
          <w:rPr>
            <w:rStyle w:val="Hyperlink"/>
            <w:rFonts w:ascii="Arial" w:hAnsi="Arial"/>
            <w:sz w:val="24"/>
            <w:lang w:val="en-US"/>
          </w:rPr>
          <w:t>Decision 2000/520/EC</w:t>
        </w:r>
      </w:hyperlink>
      <w:r w:rsidRPr="003B467D">
        <w:rPr>
          <w:rFonts w:ascii="Arial" w:hAnsi="Arial"/>
          <w:sz w:val="24"/>
          <w:lang w:val="en-US"/>
        </w:rPr>
        <w:t>) in July 2000. The decision allowed registered companies to transfer personal data from the EU to the U.S.</w:t>
      </w:r>
    </w:p>
    <w:p w14:paraId="51B22338" w14:textId="77777777" w:rsidR="00B64E06" w:rsidRPr="003B467D" w:rsidRDefault="00B64E06" w:rsidP="00B64E06">
      <w:pPr>
        <w:widowControl w:val="0"/>
        <w:autoSpaceDE w:val="0"/>
        <w:autoSpaceDN w:val="0"/>
        <w:adjustRightInd w:val="0"/>
        <w:spacing w:after="240" w:line="240" w:lineRule="auto"/>
        <w:rPr>
          <w:rFonts w:ascii="Times" w:hAnsi="Times"/>
          <w:sz w:val="24"/>
          <w:lang w:val="en-US"/>
        </w:rPr>
      </w:pPr>
      <w:r w:rsidRPr="006270F8">
        <w:rPr>
          <w:rFonts w:ascii="Helvetica" w:hAnsi="Helvetica" w:cs="Helvetica"/>
          <w:b/>
          <w:bCs/>
          <w:color w:val="FC4F08"/>
          <w:sz w:val="24"/>
          <w:szCs w:val="24"/>
          <w:lang w:val="en-US"/>
        </w:rPr>
        <w:t xml:space="preserve">Q. </w:t>
      </w:r>
      <w:r w:rsidRPr="003B467D">
        <w:rPr>
          <w:rFonts w:ascii="Helvetica" w:hAnsi="Helvetica"/>
          <w:b/>
          <w:color w:val="FC4F08"/>
          <w:sz w:val="24"/>
          <w:lang w:val="en-US"/>
        </w:rPr>
        <w:t xml:space="preserve">So what happened to the Safe </w:t>
      </w:r>
      <w:proofErr w:type="spellStart"/>
      <w:r w:rsidRPr="003B467D">
        <w:rPr>
          <w:rFonts w:ascii="Helvetica" w:hAnsi="Helvetica"/>
          <w:b/>
          <w:color w:val="FC4F08"/>
          <w:sz w:val="24"/>
          <w:lang w:val="en-US"/>
        </w:rPr>
        <w:t>Harbour</w:t>
      </w:r>
      <w:proofErr w:type="spellEnd"/>
      <w:r w:rsidRPr="003B467D">
        <w:rPr>
          <w:rFonts w:ascii="Helvetica" w:hAnsi="Helvetica"/>
          <w:b/>
          <w:color w:val="FC4F08"/>
          <w:sz w:val="24"/>
          <w:lang w:val="en-US"/>
        </w:rPr>
        <w:t xml:space="preserve"> framework?</w:t>
      </w:r>
    </w:p>
    <w:p w14:paraId="39FDFE79" w14:textId="77777777" w:rsidR="00B64E06" w:rsidRPr="003B467D" w:rsidRDefault="00B64E06" w:rsidP="00B64E06">
      <w:pPr>
        <w:widowControl w:val="0"/>
        <w:autoSpaceDE w:val="0"/>
        <w:autoSpaceDN w:val="0"/>
        <w:adjustRightInd w:val="0"/>
        <w:spacing w:after="240" w:line="240" w:lineRule="auto"/>
        <w:rPr>
          <w:rFonts w:ascii="Times" w:hAnsi="Times"/>
          <w:sz w:val="24"/>
          <w:lang w:val="en-US"/>
        </w:rPr>
      </w:pPr>
      <w:r w:rsidRPr="006270F8">
        <w:rPr>
          <w:rFonts w:ascii="Arial" w:hAnsi="Arial" w:cs="Arial"/>
          <w:sz w:val="24"/>
          <w:szCs w:val="24"/>
          <w:lang w:val="en-US"/>
        </w:rPr>
        <w:t xml:space="preserve">A. </w:t>
      </w:r>
      <w:r w:rsidRPr="003B467D">
        <w:rPr>
          <w:rFonts w:ascii="Arial" w:hAnsi="Arial"/>
          <w:sz w:val="24"/>
          <w:lang w:val="en-US"/>
        </w:rPr>
        <w:t xml:space="preserve">On 6 October 2015, </w:t>
      </w:r>
      <w:hyperlink r:id="rId11" w:history="1">
        <w:r w:rsidRPr="003B467D">
          <w:rPr>
            <w:rStyle w:val="Hyperlink"/>
            <w:rFonts w:ascii="Arial" w:hAnsi="Arial"/>
            <w:sz w:val="24"/>
            <w:lang w:val="en-US"/>
          </w:rPr>
          <w:t xml:space="preserve">the Court of Justice of the European Union (CJEU) invalidated Safe </w:t>
        </w:r>
        <w:proofErr w:type="spellStart"/>
        <w:r w:rsidRPr="003B467D">
          <w:rPr>
            <w:rStyle w:val="Hyperlink"/>
            <w:rFonts w:ascii="Arial" w:hAnsi="Arial"/>
            <w:sz w:val="24"/>
            <w:lang w:val="en-US"/>
          </w:rPr>
          <w:t>Harbour</w:t>
        </w:r>
        <w:proofErr w:type="spellEnd"/>
      </w:hyperlink>
      <w:r w:rsidRPr="003B467D">
        <w:rPr>
          <w:rFonts w:ascii="Arial" w:hAnsi="Arial"/>
          <w:sz w:val="24"/>
          <w:lang w:val="en-US"/>
        </w:rPr>
        <w:t xml:space="preserve">, arguing that it had enabled </w:t>
      </w:r>
      <w:r w:rsidRPr="003B467D">
        <w:rPr>
          <w:rFonts w:ascii="Arial" w:hAnsi="Arial"/>
          <w:i/>
          <w:sz w:val="24"/>
          <w:lang w:val="en-US"/>
        </w:rPr>
        <w:t xml:space="preserve">‘interference </w:t>
      </w:r>
      <w:r w:rsidRPr="006270F8">
        <w:rPr>
          <w:rFonts w:ascii="Arial" w:hAnsi="Arial" w:cs="Arial"/>
          <w:i/>
          <w:iCs/>
          <w:sz w:val="24"/>
          <w:szCs w:val="24"/>
          <w:lang w:val="en-US"/>
        </w:rPr>
        <w:t>(...)</w:t>
      </w:r>
      <w:r w:rsidRPr="003B467D">
        <w:rPr>
          <w:rFonts w:ascii="Arial" w:hAnsi="Arial"/>
          <w:i/>
          <w:sz w:val="24"/>
          <w:lang w:val="en-US"/>
        </w:rPr>
        <w:t xml:space="preserve"> with the fundamental rights [to privacy and </w:t>
      </w:r>
      <w:r w:rsidRPr="003B467D">
        <w:rPr>
          <w:rFonts w:ascii="Helvetica" w:hAnsi="Helvetica"/>
          <w:i/>
          <w:sz w:val="24"/>
          <w:lang w:val="en-US"/>
        </w:rPr>
        <w:t xml:space="preserve">judicial redress] of the persons whose personal data is or could be transferred from [the EU to </w:t>
      </w:r>
      <w:r w:rsidRPr="003B467D">
        <w:rPr>
          <w:rFonts w:ascii="Arial" w:hAnsi="Arial"/>
          <w:i/>
          <w:sz w:val="24"/>
          <w:lang w:val="en-US"/>
        </w:rPr>
        <w:t>the U.S.]’</w:t>
      </w:r>
      <w:r w:rsidRPr="003B467D">
        <w:rPr>
          <w:rFonts w:ascii="Arial" w:hAnsi="Arial"/>
          <w:sz w:val="24"/>
          <w:lang w:val="en-US"/>
        </w:rPr>
        <w:t xml:space="preserve">. Additionally, the CJEU found that Safe </w:t>
      </w:r>
      <w:proofErr w:type="spellStart"/>
      <w:r w:rsidRPr="003B467D">
        <w:rPr>
          <w:rFonts w:ascii="Arial" w:hAnsi="Arial"/>
          <w:sz w:val="24"/>
          <w:lang w:val="en-US"/>
        </w:rPr>
        <w:t>Harbour</w:t>
      </w:r>
      <w:proofErr w:type="spellEnd"/>
      <w:r w:rsidRPr="003B467D">
        <w:rPr>
          <w:rFonts w:ascii="Arial" w:hAnsi="Arial"/>
          <w:sz w:val="24"/>
          <w:lang w:val="en-US"/>
        </w:rPr>
        <w:t xml:space="preserve"> wrongfully limited the power of national data protection authorities (DPAs) – such as the Information Commissioner’s Office (ICO) in the UK – to investigate claims by individuals concerning the adequacy of third countries.</w:t>
      </w:r>
    </w:p>
    <w:p w14:paraId="60184DB5" w14:textId="77777777" w:rsidR="00B64E06" w:rsidRPr="00150881" w:rsidRDefault="00B64E06" w:rsidP="00B64E06">
      <w:pPr>
        <w:widowControl w:val="0"/>
        <w:autoSpaceDE w:val="0"/>
        <w:autoSpaceDN w:val="0"/>
        <w:adjustRightInd w:val="0"/>
        <w:spacing w:after="240" w:line="240" w:lineRule="auto"/>
        <w:rPr>
          <w:rFonts w:ascii="Times" w:hAnsi="Times"/>
          <w:sz w:val="24"/>
          <w:lang w:val="en-US"/>
        </w:rPr>
      </w:pPr>
      <w:r w:rsidRPr="003B467D">
        <w:rPr>
          <w:rFonts w:ascii="Helvetica" w:hAnsi="Helvetica"/>
          <w:b/>
          <w:color w:val="FC4F08"/>
          <w:sz w:val="24"/>
          <w:lang w:val="en-US"/>
        </w:rPr>
        <w:t xml:space="preserve">Q. </w:t>
      </w:r>
      <w:r w:rsidRPr="00150881">
        <w:rPr>
          <w:rFonts w:ascii="Helvetica" w:hAnsi="Helvetica"/>
          <w:b/>
          <w:color w:val="FC4F08"/>
          <w:sz w:val="24"/>
          <w:lang w:val="en-US"/>
        </w:rPr>
        <w:t xml:space="preserve">Is a successor to Safe </w:t>
      </w:r>
      <w:proofErr w:type="spellStart"/>
      <w:r w:rsidRPr="00150881">
        <w:rPr>
          <w:rFonts w:ascii="Helvetica" w:hAnsi="Helvetica"/>
          <w:b/>
          <w:color w:val="FC4F08"/>
          <w:sz w:val="24"/>
          <w:lang w:val="en-US"/>
        </w:rPr>
        <w:t>Harbour</w:t>
      </w:r>
      <w:proofErr w:type="spellEnd"/>
      <w:r w:rsidRPr="00150881">
        <w:rPr>
          <w:rFonts w:ascii="Helvetica" w:hAnsi="Helvetica"/>
          <w:b/>
          <w:color w:val="FC4F08"/>
          <w:sz w:val="24"/>
          <w:lang w:val="en-US"/>
        </w:rPr>
        <w:t xml:space="preserve"> in place yet?</w:t>
      </w:r>
    </w:p>
    <w:p w14:paraId="1F6A0C39" w14:textId="77777777" w:rsidR="00B64E06" w:rsidRPr="003B467D" w:rsidRDefault="00B64E06" w:rsidP="00B64E06">
      <w:pPr>
        <w:widowControl w:val="0"/>
        <w:autoSpaceDE w:val="0"/>
        <w:autoSpaceDN w:val="0"/>
        <w:adjustRightInd w:val="0"/>
        <w:spacing w:after="240" w:line="240" w:lineRule="auto"/>
        <w:rPr>
          <w:rFonts w:ascii="Arial" w:hAnsi="Arial" w:cs="Arial"/>
          <w:sz w:val="24"/>
          <w:szCs w:val="24"/>
        </w:rPr>
      </w:pPr>
      <w:r>
        <w:rPr>
          <w:rFonts w:ascii="Helvetica" w:hAnsi="Helvetica" w:cs="Arial"/>
          <w:sz w:val="24"/>
          <w:szCs w:val="24"/>
          <w:lang w:val="en-US"/>
        </w:rPr>
        <w:t>A</w:t>
      </w:r>
      <w:r>
        <w:rPr>
          <w:sz w:val="22"/>
        </w:rPr>
        <w:t xml:space="preserve">. </w:t>
      </w:r>
      <w:r w:rsidRPr="00150881">
        <w:rPr>
          <w:rFonts w:ascii="Arial" w:hAnsi="Arial" w:cs="Arial"/>
          <w:sz w:val="24"/>
          <w:szCs w:val="24"/>
          <w:lang w:val="en-US"/>
        </w:rPr>
        <w:t>Yes. On 12 July 2016, the EC</w:t>
      </w:r>
      <w:r>
        <w:rPr>
          <w:rFonts w:ascii="Arial" w:hAnsi="Arial" w:cs="Arial"/>
          <w:sz w:val="24"/>
          <w:szCs w:val="24"/>
          <w:lang w:val="en-US"/>
        </w:rPr>
        <w:t xml:space="preserve"> formally</w:t>
      </w:r>
      <w:r w:rsidRPr="00072ABD">
        <w:rPr>
          <w:rFonts w:ascii="Arial" w:hAnsi="Arial" w:cs="Arial"/>
          <w:sz w:val="24"/>
          <w:szCs w:val="24"/>
          <w:lang w:val="en-US"/>
        </w:rPr>
        <w:t xml:space="preserve"> </w:t>
      </w:r>
      <w:hyperlink r:id="rId12" w:history="1">
        <w:r w:rsidRPr="00072ABD">
          <w:rPr>
            <w:rStyle w:val="Hyperlink"/>
            <w:rFonts w:ascii="Arial" w:hAnsi="Arial" w:cs="Arial"/>
            <w:sz w:val="24"/>
            <w:szCs w:val="24"/>
            <w:lang w:val="en-US"/>
          </w:rPr>
          <w:t>adopted</w:t>
        </w:r>
      </w:hyperlink>
      <w:r w:rsidRPr="00072ABD">
        <w:rPr>
          <w:rFonts w:ascii="Arial" w:hAnsi="Arial" w:cs="Arial"/>
          <w:sz w:val="24"/>
          <w:szCs w:val="24"/>
          <w:lang w:val="en-US"/>
        </w:rPr>
        <w:t xml:space="preserve"> the EU-U.S. Privacy Shield, the successor to the Safe </w:t>
      </w:r>
      <w:proofErr w:type="spellStart"/>
      <w:r w:rsidRPr="00072ABD">
        <w:rPr>
          <w:rFonts w:ascii="Arial" w:hAnsi="Arial" w:cs="Arial"/>
          <w:sz w:val="24"/>
          <w:szCs w:val="24"/>
          <w:lang w:val="en-US"/>
        </w:rPr>
        <w:t>Harbour</w:t>
      </w:r>
      <w:proofErr w:type="spellEnd"/>
      <w:r w:rsidRPr="00072ABD">
        <w:rPr>
          <w:rFonts w:ascii="Arial" w:hAnsi="Arial" w:cs="Arial"/>
          <w:sz w:val="24"/>
          <w:szCs w:val="24"/>
          <w:lang w:val="en-US"/>
        </w:rPr>
        <w:t xml:space="preserve"> agreement. </w:t>
      </w:r>
    </w:p>
    <w:p w14:paraId="426396A9" w14:textId="77777777" w:rsidR="00B64E06" w:rsidRDefault="00B64E06" w:rsidP="00B64E06">
      <w:pPr>
        <w:widowControl w:val="0"/>
        <w:autoSpaceDE w:val="0"/>
        <w:autoSpaceDN w:val="0"/>
        <w:adjustRightInd w:val="0"/>
        <w:spacing w:after="240" w:line="240" w:lineRule="auto"/>
        <w:rPr>
          <w:rFonts w:ascii="Helvetica" w:hAnsi="Helvetica" w:cs="Arial"/>
          <w:b/>
          <w:color w:val="FF6309"/>
          <w:sz w:val="24"/>
          <w:szCs w:val="24"/>
          <w:lang w:val="en-US"/>
        </w:rPr>
      </w:pPr>
      <w:r>
        <w:rPr>
          <w:rFonts w:ascii="Helvetica" w:hAnsi="Helvetica" w:cs="Arial"/>
          <w:b/>
          <w:color w:val="FF6309"/>
          <w:sz w:val="24"/>
          <w:szCs w:val="24"/>
          <w:lang w:val="en-US"/>
        </w:rPr>
        <w:t xml:space="preserve">Q. What are the differences between the Privacy Shield and Safe </w:t>
      </w:r>
      <w:proofErr w:type="spellStart"/>
      <w:r>
        <w:rPr>
          <w:rFonts w:ascii="Helvetica" w:hAnsi="Helvetica" w:cs="Arial"/>
          <w:b/>
          <w:color w:val="FF6309"/>
          <w:sz w:val="24"/>
          <w:szCs w:val="24"/>
          <w:lang w:val="en-US"/>
        </w:rPr>
        <w:t>Harbour</w:t>
      </w:r>
      <w:proofErr w:type="spellEnd"/>
      <w:r>
        <w:rPr>
          <w:rFonts w:ascii="Helvetica" w:hAnsi="Helvetica" w:cs="Arial"/>
          <w:b/>
          <w:color w:val="FF6309"/>
          <w:sz w:val="24"/>
          <w:szCs w:val="24"/>
          <w:lang w:val="en-US"/>
        </w:rPr>
        <w:t>?</w:t>
      </w:r>
    </w:p>
    <w:p w14:paraId="0197B4D4" w14:textId="77777777" w:rsidR="00B64E06" w:rsidRPr="00150881" w:rsidRDefault="00B64E06" w:rsidP="00B64E06">
      <w:pPr>
        <w:widowControl w:val="0"/>
        <w:autoSpaceDE w:val="0"/>
        <w:autoSpaceDN w:val="0"/>
        <w:adjustRightInd w:val="0"/>
        <w:spacing w:after="240" w:line="240" w:lineRule="auto"/>
        <w:rPr>
          <w:rFonts w:ascii="Helvetica" w:hAnsi="Helvetica" w:cs="Arial"/>
          <w:sz w:val="24"/>
          <w:szCs w:val="24"/>
          <w:lang w:val="en-US"/>
        </w:rPr>
      </w:pPr>
      <w:r>
        <w:rPr>
          <w:rFonts w:ascii="Helvetica" w:hAnsi="Helvetica" w:cs="Arial"/>
          <w:sz w:val="24"/>
          <w:szCs w:val="24"/>
          <w:lang w:val="en-US"/>
        </w:rPr>
        <w:t xml:space="preserve">A. In essence, there aren’t many. The main updates include further obligations placed on U.S. companies that transfer EU citizens’ data (as well as ensuring enhanced oversight of their compliance), </w:t>
      </w:r>
      <w:r w:rsidRPr="00072ABD">
        <w:rPr>
          <w:rFonts w:ascii="Helvetica" w:hAnsi="Helvetica" w:cs="Arial"/>
          <w:sz w:val="24"/>
          <w:szCs w:val="24"/>
          <w:lang w:val="en-US"/>
        </w:rPr>
        <w:t>written assurances</w:t>
      </w:r>
      <w:r>
        <w:rPr>
          <w:rFonts w:ascii="Helvetica" w:hAnsi="Helvetica" w:cs="Arial"/>
          <w:sz w:val="24"/>
          <w:szCs w:val="24"/>
          <w:lang w:val="en-US"/>
        </w:rPr>
        <w:t xml:space="preserve"> from the U.S. Government that access to personal data will be limited to specific conditions and the establishment of new redress mechanisms.  </w:t>
      </w:r>
    </w:p>
    <w:p w14:paraId="3400DDEB" w14:textId="77777777" w:rsidR="00B64E06" w:rsidRDefault="00B64E06" w:rsidP="00B64E06">
      <w:pPr>
        <w:widowControl w:val="0"/>
        <w:autoSpaceDE w:val="0"/>
        <w:autoSpaceDN w:val="0"/>
        <w:adjustRightInd w:val="0"/>
        <w:spacing w:after="240" w:line="240" w:lineRule="auto"/>
        <w:rPr>
          <w:rFonts w:ascii="Helvetica" w:hAnsi="Helvetica" w:cs="Arial"/>
          <w:sz w:val="24"/>
          <w:szCs w:val="24"/>
          <w:lang w:val="en-US"/>
        </w:rPr>
      </w:pPr>
      <w:r>
        <w:rPr>
          <w:rFonts w:ascii="Helvetica" w:hAnsi="Helvetica" w:cs="Arial"/>
          <w:sz w:val="24"/>
          <w:szCs w:val="24"/>
          <w:lang w:val="en-US"/>
        </w:rPr>
        <w:t xml:space="preserve">Full details of the framework, the obligations for businesses transferring data and the redress mechanisms, plus the legal texts are available on the </w:t>
      </w:r>
      <w:hyperlink r:id="rId13" w:history="1">
        <w:r w:rsidRPr="00D95310">
          <w:rPr>
            <w:rStyle w:val="Hyperlink"/>
            <w:rFonts w:ascii="Helvetica" w:hAnsi="Helvetica" w:cs="Arial"/>
            <w:sz w:val="24"/>
            <w:szCs w:val="24"/>
            <w:lang w:val="en-US"/>
          </w:rPr>
          <w:t>European Commission website</w:t>
        </w:r>
      </w:hyperlink>
      <w:r>
        <w:rPr>
          <w:rFonts w:ascii="Helvetica" w:hAnsi="Helvetica" w:cs="Arial"/>
          <w:sz w:val="24"/>
          <w:szCs w:val="24"/>
          <w:lang w:val="en-US"/>
        </w:rPr>
        <w:t>.</w:t>
      </w:r>
    </w:p>
    <w:p w14:paraId="204E3CFE" w14:textId="77777777" w:rsidR="00B64E06" w:rsidRDefault="00B64E06" w:rsidP="00B64E06">
      <w:pPr>
        <w:widowControl w:val="0"/>
        <w:autoSpaceDE w:val="0"/>
        <w:autoSpaceDN w:val="0"/>
        <w:adjustRightInd w:val="0"/>
        <w:spacing w:after="240" w:line="240" w:lineRule="auto"/>
        <w:rPr>
          <w:rFonts w:ascii="Arial" w:hAnsi="Arial" w:cs="Arial"/>
          <w:sz w:val="24"/>
          <w:szCs w:val="24"/>
          <w:lang w:val="en-US"/>
        </w:rPr>
      </w:pPr>
      <w:r>
        <w:rPr>
          <w:rFonts w:ascii="Helvetica" w:hAnsi="Helvetica" w:cs="Helvetica"/>
          <w:b/>
          <w:bCs/>
          <w:color w:val="FC4F08"/>
          <w:sz w:val="24"/>
          <w:szCs w:val="24"/>
          <w:lang w:val="en-US"/>
        </w:rPr>
        <w:t xml:space="preserve">Q. Does the Privacy Shield address the problems of Safe </w:t>
      </w:r>
      <w:proofErr w:type="spellStart"/>
      <w:r>
        <w:rPr>
          <w:rFonts w:ascii="Helvetica" w:hAnsi="Helvetica" w:cs="Helvetica"/>
          <w:b/>
          <w:bCs/>
          <w:color w:val="FC4F08"/>
          <w:sz w:val="24"/>
          <w:szCs w:val="24"/>
          <w:lang w:val="en-US"/>
        </w:rPr>
        <w:t>Harbour</w:t>
      </w:r>
      <w:proofErr w:type="spellEnd"/>
      <w:r>
        <w:rPr>
          <w:rFonts w:ascii="Helvetica" w:hAnsi="Helvetica" w:cs="Helvetica"/>
          <w:b/>
          <w:bCs/>
          <w:color w:val="FC4F08"/>
          <w:sz w:val="24"/>
          <w:szCs w:val="24"/>
          <w:lang w:val="en-US"/>
        </w:rPr>
        <w:t xml:space="preserve"> identified by the CJEU?</w:t>
      </w:r>
    </w:p>
    <w:p w14:paraId="7486993A" w14:textId="77777777" w:rsidR="00B64E06" w:rsidRDefault="00B64E06" w:rsidP="00B64E06">
      <w:pPr>
        <w:widowControl w:val="0"/>
        <w:autoSpaceDE w:val="0"/>
        <w:autoSpaceDN w:val="0"/>
        <w:adjustRightInd w:val="0"/>
        <w:spacing w:after="240" w:line="240" w:lineRule="auto"/>
        <w:rPr>
          <w:rFonts w:ascii="Arial" w:hAnsi="Arial" w:cs="Arial"/>
          <w:sz w:val="24"/>
          <w:szCs w:val="24"/>
        </w:rPr>
      </w:pPr>
      <w:r>
        <w:rPr>
          <w:rFonts w:ascii="Arial" w:hAnsi="Arial" w:cs="Arial"/>
          <w:sz w:val="24"/>
          <w:szCs w:val="24"/>
        </w:rPr>
        <w:t>According to the EC, “</w:t>
      </w:r>
      <w:r w:rsidRPr="00F5362D">
        <w:rPr>
          <w:rFonts w:ascii="Arial" w:hAnsi="Arial" w:cs="Arial"/>
          <w:sz w:val="24"/>
          <w:szCs w:val="24"/>
        </w:rPr>
        <w:t xml:space="preserve">The EU-U.S. Privacy Shield reflects the requirements set out by the European Court of Justice in its ruling on 6 October 2015, which </w:t>
      </w:r>
      <w:r w:rsidRPr="00F5362D">
        <w:rPr>
          <w:rFonts w:ascii="Arial" w:hAnsi="Arial" w:cs="Arial"/>
          <w:sz w:val="24"/>
          <w:szCs w:val="24"/>
        </w:rPr>
        <w:lastRenderedPageBreak/>
        <w:t>declared the old Safe Harbour framework invalid.</w:t>
      </w:r>
      <w:r>
        <w:rPr>
          <w:rFonts w:ascii="Arial" w:hAnsi="Arial" w:cs="Arial"/>
          <w:sz w:val="24"/>
          <w:szCs w:val="24"/>
        </w:rPr>
        <w:t xml:space="preserve">” The Privacy Shield includes what the EC describes as ‘stronger obligations’ for US companies transferring data, including requirements to cooperate with EU DPAs, plus provisions intended to address concerns about mass surveillance and the process for consumer complaints. </w:t>
      </w:r>
    </w:p>
    <w:p w14:paraId="6AB12A0F" w14:textId="77777777" w:rsidR="00B64E06" w:rsidRPr="002C428D" w:rsidRDefault="00B64E06" w:rsidP="00B64E06">
      <w:pPr>
        <w:widowControl w:val="0"/>
        <w:autoSpaceDE w:val="0"/>
        <w:autoSpaceDN w:val="0"/>
        <w:adjustRightInd w:val="0"/>
        <w:spacing w:after="240" w:line="240" w:lineRule="auto"/>
        <w:rPr>
          <w:rFonts w:ascii="Helvetica" w:hAnsi="Helvetica" w:cs="Helvetica"/>
          <w:bCs/>
          <w:sz w:val="24"/>
          <w:szCs w:val="24"/>
          <w:lang w:val="en-US"/>
        </w:rPr>
      </w:pPr>
      <w:r>
        <w:rPr>
          <w:rFonts w:ascii="Arial" w:hAnsi="Arial" w:cs="Arial"/>
          <w:sz w:val="24"/>
          <w:szCs w:val="24"/>
        </w:rPr>
        <w:t>Some privacy advocates and policymakers, however, have already questioned whether the Privacy Shield goes far enough to address the concerns identified by the CJEU</w:t>
      </w:r>
      <w:r>
        <w:rPr>
          <w:rFonts w:ascii="Helvetica" w:hAnsi="Helvetica" w:cs="Helvetica"/>
          <w:bCs/>
          <w:sz w:val="24"/>
          <w:szCs w:val="24"/>
          <w:lang w:val="en-US"/>
        </w:rPr>
        <w:t>, making it likely that the new framework will be subject to a</w:t>
      </w:r>
      <w:r w:rsidRPr="00A87D54">
        <w:rPr>
          <w:rFonts w:ascii="Arial" w:hAnsi="Arial" w:cs="Arial"/>
          <w:sz w:val="24"/>
          <w:szCs w:val="24"/>
          <w:lang w:val="en-US"/>
        </w:rPr>
        <w:t xml:space="preserve"> legal challenge in Europe, in the same fashion as the one that brought down Safe </w:t>
      </w:r>
      <w:proofErr w:type="spellStart"/>
      <w:r w:rsidRPr="00A87D54">
        <w:rPr>
          <w:rFonts w:ascii="Arial" w:hAnsi="Arial" w:cs="Arial"/>
          <w:sz w:val="24"/>
          <w:szCs w:val="24"/>
          <w:lang w:val="en-US"/>
        </w:rPr>
        <w:t>Harbour</w:t>
      </w:r>
      <w:proofErr w:type="spellEnd"/>
      <w:r w:rsidRPr="00A87D54">
        <w:rPr>
          <w:rFonts w:ascii="Arial" w:hAnsi="Arial" w:cs="Arial"/>
          <w:sz w:val="24"/>
          <w:szCs w:val="24"/>
          <w:lang w:val="en-US"/>
        </w:rPr>
        <w:t>.</w:t>
      </w:r>
    </w:p>
    <w:p w14:paraId="29A77DE8" w14:textId="77777777" w:rsidR="00B64E06" w:rsidRDefault="00B64E06" w:rsidP="00B64E06">
      <w:pPr>
        <w:widowControl w:val="0"/>
        <w:autoSpaceDE w:val="0"/>
        <w:autoSpaceDN w:val="0"/>
        <w:adjustRightInd w:val="0"/>
        <w:spacing w:after="240" w:line="240" w:lineRule="auto"/>
        <w:rPr>
          <w:rFonts w:ascii="Helvetica" w:hAnsi="Helvetica" w:cs="Helvetica"/>
          <w:b/>
          <w:bCs/>
          <w:color w:val="FC4F08"/>
          <w:sz w:val="24"/>
          <w:szCs w:val="24"/>
          <w:lang w:val="en-US"/>
        </w:rPr>
      </w:pPr>
      <w:r>
        <w:rPr>
          <w:rFonts w:ascii="Helvetica" w:hAnsi="Helvetica" w:cs="Helvetica"/>
          <w:b/>
          <w:bCs/>
          <w:color w:val="FC4F08"/>
          <w:sz w:val="24"/>
          <w:szCs w:val="24"/>
          <w:lang w:val="en-US"/>
        </w:rPr>
        <w:t>Q. Can I start to transfer data to the U.S. under the Privacy Shield framework?</w:t>
      </w:r>
    </w:p>
    <w:p w14:paraId="1995FBCF" w14:textId="77777777" w:rsidR="00B64E06" w:rsidRDefault="00B64E06" w:rsidP="00B64E06">
      <w:pPr>
        <w:widowControl w:val="0"/>
        <w:autoSpaceDE w:val="0"/>
        <w:autoSpaceDN w:val="0"/>
        <w:adjustRightInd w:val="0"/>
        <w:spacing w:after="240" w:line="240" w:lineRule="auto"/>
        <w:rPr>
          <w:rFonts w:ascii="Helvetica" w:hAnsi="Helvetica" w:cs="Helvetica"/>
          <w:bCs/>
          <w:color w:val="FC4F08"/>
          <w:sz w:val="24"/>
          <w:szCs w:val="24"/>
          <w:lang w:val="en-US"/>
        </w:rPr>
      </w:pPr>
      <w:r w:rsidRPr="006B1741">
        <w:rPr>
          <w:rFonts w:ascii="Helvetica" w:hAnsi="Helvetica" w:cs="Helvetica"/>
          <w:bCs/>
          <w:sz w:val="24"/>
          <w:szCs w:val="24"/>
          <w:lang w:val="en-US"/>
        </w:rPr>
        <w:t>A. Not yet.</w:t>
      </w:r>
      <w:r>
        <w:rPr>
          <w:rFonts w:ascii="Helvetica" w:hAnsi="Helvetica" w:cs="Helvetica"/>
          <w:bCs/>
          <w:color w:val="FC4F08"/>
          <w:sz w:val="24"/>
          <w:szCs w:val="24"/>
          <w:lang w:val="en-US"/>
        </w:rPr>
        <w:t xml:space="preserve"> </w:t>
      </w:r>
      <w:r>
        <w:rPr>
          <w:rFonts w:ascii="Helvetica" w:hAnsi="Helvetica" w:cs="Arial"/>
          <w:sz w:val="24"/>
          <w:szCs w:val="24"/>
          <w:lang w:val="en-US"/>
        </w:rPr>
        <w:t xml:space="preserve">As with Safe </w:t>
      </w:r>
      <w:proofErr w:type="spellStart"/>
      <w:r>
        <w:rPr>
          <w:rFonts w:ascii="Helvetica" w:hAnsi="Helvetica" w:cs="Arial"/>
          <w:sz w:val="24"/>
          <w:szCs w:val="24"/>
          <w:lang w:val="en-US"/>
        </w:rPr>
        <w:t>Harbour</w:t>
      </w:r>
      <w:proofErr w:type="spellEnd"/>
      <w:r>
        <w:rPr>
          <w:rFonts w:ascii="Helvetica" w:hAnsi="Helvetica" w:cs="Arial"/>
          <w:sz w:val="24"/>
          <w:szCs w:val="24"/>
          <w:lang w:val="en-US"/>
        </w:rPr>
        <w:t xml:space="preserve">, </w:t>
      </w:r>
      <w:r>
        <w:rPr>
          <w:rFonts w:ascii="Helvetica" w:hAnsi="Helvetica" w:cs="Helvetica"/>
          <w:bCs/>
          <w:sz w:val="24"/>
          <w:szCs w:val="24"/>
          <w:lang w:val="en-US"/>
        </w:rPr>
        <w:t>b</w:t>
      </w:r>
      <w:r w:rsidRPr="006B1741">
        <w:rPr>
          <w:rFonts w:ascii="Helvetica" w:hAnsi="Helvetica" w:cs="Helvetica"/>
          <w:bCs/>
          <w:sz w:val="24"/>
          <w:szCs w:val="24"/>
          <w:lang w:val="en-US"/>
        </w:rPr>
        <w:t xml:space="preserve">usinesses will be required to self-certify and to register annually with the U.S. Department of Commerce, which will maintain an up-to-date list of Privacy Shield members. Registration opens on 1 August 2016.  </w:t>
      </w:r>
    </w:p>
    <w:p w14:paraId="29E9F577" w14:textId="77777777" w:rsidR="00B64E06" w:rsidRPr="006553B4" w:rsidRDefault="00B64E06" w:rsidP="00B64E06">
      <w:pPr>
        <w:widowControl w:val="0"/>
        <w:autoSpaceDE w:val="0"/>
        <w:autoSpaceDN w:val="0"/>
        <w:adjustRightInd w:val="0"/>
        <w:spacing w:after="240" w:line="240" w:lineRule="auto"/>
        <w:rPr>
          <w:rFonts w:ascii="Helvetica" w:hAnsi="Helvetica" w:cs="Helvetica"/>
          <w:bCs/>
          <w:color w:val="FC4F08"/>
          <w:sz w:val="24"/>
          <w:szCs w:val="24"/>
          <w:lang w:val="en-US"/>
        </w:rPr>
      </w:pPr>
      <w:r>
        <w:rPr>
          <w:rFonts w:ascii="Helvetica" w:hAnsi="Helvetica" w:cs="Helvetica"/>
          <w:b/>
          <w:bCs/>
          <w:color w:val="FC4F08"/>
          <w:sz w:val="24"/>
          <w:szCs w:val="24"/>
          <w:lang w:val="en-US"/>
        </w:rPr>
        <w:t>Q. Are there any alternatives to the Privacy Shield for transferring data to the U.S.</w:t>
      </w:r>
      <w:r w:rsidRPr="006553B4">
        <w:rPr>
          <w:rFonts w:ascii="Helvetica" w:hAnsi="Helvetica" w:cs="Helvetica"/>
          <w:b/>
          <w:bCs/>
          <w:color w:val="FC4F08"/>
          <w:sz w:val="24"/>
          <w:szCs w:val="24"/>
          <w:lang w:val="en-US"/>
        </w:rPr>
        <w:t xml:space="preserve">? </w:t>
      </w:r>
    </w:p>
    <w:p w14:paraId="0F7A91BA" w14:textId="77777777" w:rsidR="00B64E06" w:rsidRPr="006B1741" w:rsidRDefault="00B64E06" w:rsidP="00B64E06">
      <w:pPr>
        <w:widowControl w:val="0"/>
        <w:autoSpaceDE w:val="0"/>
        <w:autoSpaceDN w:val="0"/>
        <w:adjustRightInd w:val="0"/>
        <w:spacing w:after="240" w:line="240" w:lineRule="auto"/>
        <w:rPr>
          <w:rFonts w:ascii="Helvetica" w:hAnsi="Helvetica" w:cs="Helvetica"/>
          <w:bCs/>
          <w:sz w:val="24"/>
          <w:szCs w:val="24"/>
          <w:lang w:val="en-US"/>
        </w:rPr>
      </w:pPr>
      <w:r w:rsidRPr="006B1741">
        <w:rPr>
          <w:rFonts w:ascii="Helvetica" w:hAnsi="Helvetica" w:cs="Helvetica"/>
          <w:bCs/>
          <w:sz w:val="24"/>
          <w:szCs w:val="24"/>
          <w:lang w:val="en-US"/>
        </w:rPr>
        <w:t xml:space="preserve">A. </w:t>
      </w:r>
      <w:r>
        <w:rPr>
          <w:rFonts w:ascii="Helvetica" w:hAnsi="Helvetica" w:cs="Helvetica"/>
          <w:bCs/>
          <w:sz w:val="24"/>
          <w:szCs w:val="24"/>
          <w:lang w:val="en-US"/>
        </w:rPr>
        <w:t>Adequacy decisions are</w:t>
      </w:r>
      <w:r w:rsidRPr="006B1741">
        <w:rPr>
          <w:rFonts w:ascii="Helvetica" w:hAnsi="Helvetica" w:cs="Helvetica"/>
          <w:bCs/>
          <w:sz w:val="24"/>
          <w:szCs w:val="24"/>
          <w:lang w:val="en-US"/>
        </w:rPr>
        <w:t xml:space="preserve"> not the only mechanism allowing the transfer of personal data from the UK to the U.S. </w:t>
      </w:r>
      <w:r>
        <w:rPr>
          <w:rFonts w:ascii="Helvetica" w:hAnsi="Helvetica" w:cs="Helvetica"/>
          <w:bCs/>
          <w:sz w:val="24"/>
          <w:szCs w:val="24"/>
          <w:lang w:val="en-US"/>
        </w:rPr>
        <w:t>Businesses</w:t>
      </w:r>
      <w:r w:rsidRPr="006B1741">
        <w:rPr>
          <w:rFonts w:ascii="Helvetica" w:hAnsi="Helvetica" w:cs="Helvetica"/>
          <w:bCs/>
          <w:sz w:val="24"/>
          <w:szCs w:val="24"/>
          <w:lang w:val="en-US"/>
        </w:rPr>
        <w:t xml:space="preserve"> may still use any one or several of the following alternatives (follow links for further details from the ICO): </w:t>
      </w:r>
    </w:p>
    <w:p w14:paraId="6C354896" w14:textId="77777777" w:rsidR="00B64E06" w:rsidRPr="006B1741" w:rsidRDefault="007A45D0" w:rsidP="00B64E06">
      <w:pPr>
        <w:pStyle w:val="ListParagraph"/>
        <w:widowControl w:val="0"/>
        <w:numPr>
          <w:ilvl w:val="0"/>
          <w:numId w:val="50"/>
        </w:numPr>
        <w:autoSpaceDE w:val="0"/>
        <w:autoSpaceDN w:val="0"/>
        <w:adjustRightInd w:val="0"/>
        <w:spacing w:after="240" w:line="240" w:lineRule="auto"/>
        <w:rPr>
          <w:rFonts w:ascii="Helvetica" w:hAnsi="Helvetica" w:cs="Helvetica"/>
          <w:bCs/>
          <w:sz w:val="24"/>
          <w:szCs w:val="24"/>
          <w:lang w:val="en-US"/>
        </w:rPr>
      </w:pPr>
      <w:hyperlink r:id="rId14" w:history="1">
        <w:r w:rsidR="00B64E06" w:rsidRPr="006B1741">
          <w:rPr>
            <w:rStyle w:val="Hyperlink"/>
            <w:rFonts w:ascii="Helvetica" w:hAnsi="Helvetica" w:cs="Helvetica"/>
            <w:bCs/>
            <w:sz w:val="24"/>
            <w:szCs w:val="24"/>
          </w:rPr>
          <w:t>(Self-) assessing adequacy for international data transfers</w:t>
        </w:r>
      </w:hyperlink>
      <w:r w:rsidR="00B64E06" w:rsidRPr="006B1741">
        <w:rPr>
          <w:rFonts w:ascii="Helvetica" w:hAnsi="Helvetica" w:cs="Helvetica"/>
          <w:bCs/>
          <w:sz w:val="24"/>
          <w:szCs w:val="24"/>
          <w:lang w:val="en-US"/>
        </w:rPr>
        <w:t> </w:t>
      </w:r>
    </w:p>
    <w:p w14:paraId="532E8F4A" w14:textId="77777777" w:rsidR="00B64E06" w:rsidRDefault="007A45D0" w:rsidP="00B64E06">
      <w:pPr>
        <w:pStyle w:val="ListParagraph"/>
        <w:widowControl w:val="0"/>
        <w:numPr>
          <w:ilvl w:val="0"/>
          <w:numId w:val="50"/>
        </w:numPr>
        <w:autoSpaceDE w:val="0"/>
        <w:autoSpaceDN w:val="0"/>
        <w:adjustRightInd w:val="0"/>
        <w:spacing w:after="240" w:line="240" w:lineRule="auto"/>
        <w:rPr>
          <w:rFonts w:ascii="Helvetica" w:hAnsi="Helvetica" w:cs="Helvetica"/>
          <w:bCs/>
          <w:sz w:val="24"/>
          <w:szCs w:val="24"/>
          <w:lang w:val="en-US"/>
        </w:rPr>
      </w:pPr>
      <w:hyperlink r:id="rId15" w:history="1">
        <w:r w:rsidR="00B64E06" w:rsidRPr="00AE6808">
          <w:rPr>
            <w:rStyle w:val="Hyperlink"/>
            <w:rFonts w:ascii="Helvetica" w:hAnsi="Helvetica" w:cs="Helvetica"/>
            <w:bCs/>
            <w:sz w:val="24"/>
            <w:szCs w:val="24"/>
            <w:lang w:val="en-US"/>
          </w:rPr>
          <w:t xml:space="preserve">Model Contract Clauses for international transfers of personal data </w:t>
        </w:r>
      </w:hyperlink>
      <w:r w:rsidR="00B64E06">
        <w:rPr>
          <w:rFonts w:ascii="Helvetica" w:hAnsi="Helvetica" w:cs="Helvetica"/>
          <w:bCs/>
          <w:sz w:val="24"/>
          <w:szCs w:val="24"/>
          <w:lang w:val="en-US"/>
        </w:rPr>
        <w:t xml:space="preserve"> </w:t>
      </w:r>
    </w:p>
    <w:p w14:paraId="3C3BD9D5" w14:textId="77777777" w:rsidR="00B64E06" w:rsidRDefault="007A45D0" w:rsidP="00B64E06">
      <w:pPr>
        <w:pStyle w:val="ListParagraph"/>
        <w:widowControl w:val="0"/>
        <w:numPr>
          <w:ilvl w:val="0"/>
          <w:numId w:val="50"/>
        </w:numPr>
        <w:autoSpaceDE w:val="0"/>
        <w:autoSpaceDN w:val="0"/>
        <w:adjustRightInd w:val="0"/>
        <w:spacing w:after="240" w:line="240" w:lineRule="auto"/>
        <w:rPr>
          <w:rFonts w:ascii="Helvetica" w:hAnsi="Helvetica" w:cs="Helvetica"/>
          <w:bCs/>
          <w:sz w:val="24"/>
          <w:szCs w:val="24"/>
          <w:lang w:val="en-US"/>
        </w:rPr>
      </w:pPr>
      <w:hyperlink r:id="rId16" w:history="1">
        <w:r w:rsidR="00B64E06" w:rsidRPr="00AE6808">
          <w:rPr>
            <w:rStyle w:val="Hyperlink"/>
            <w:rFonts w:ascii="Helvetica" w:hAnsi="Helvetica" w:cs="Helvetica"/>
            <w:bCs/>
            <w:sz w:val="24"/>
            <w:szCs w:val="24"/>
            <w:lang w:val="en-US"/>
          </w:rPr>
          <w:t>Binding Corporate Rules (“BCRs”)</w:t>
        </w:r>
      </w:hyperlink>
      <w:r w:rsidR="00B64E06">
        <w:rPr>
          <w:rFonts w:ascii="Helvetica" w:hAnsi="Helvetica" w:cs="Helvetica"/>
          <w:bCs/>
          <w:sz w:val="24"/>
          <w:szCs w:val="24"/>
          <w:lang w:val="en-US"/>
        </w:rPr>
        <w:t xml:space="preserve"> </w:t>
      </w:r>
    </w:p>
    <w:p w14:paraId="5F2092F3" w14:textId="77777777" w:rsidR="00B64E06" w:rsidRPr="006B1741" w:rsidRDefault="00B64E06" w:rsidP="00B64E06">
      <w:pPr>
        <w:pStyle w:val="ListParagraph"/>
        <w:widowControl w:val="0"/>
        <w:numPr>
          <w:ilvl w:val="0"/>
          <w:numId w:val="50"/>
        </w:numPr>
        <w:autoSpaceDE w:val="0"/>
        <w:autoSpaceDN w:val="0"/>
        <w:adjustRightInd w:val="0"/>
        <w:spacing w:after="240" w:line="240" w:lineRule="auto"/>
        <w:rPr>
          <w:rFonts w:ascii="Helvetica" w:hAnsi="Helvetica" w:cs="Helvetica"/>
          <w:bCs/>
          <w:sz w:val="24"/>
          <w:szCs w:val="24"/>
          <w:lang w:val="en-US"/>
        </w:rPr>
      </w:pPr>
      <w:r w:rsidRPr="006B1741">
        <w:rPr>
          <w:rFonts w:ascii="Helvetica" w:hAnsi="Helvetica" w:cs="Helvetica"/>
          <w:bCs/>
          <w:sz w:val="24"/>
          <w:szCs w:val="24"/>
          <w:lang w:val="en-US"/>
        </w:rPr>
        <w:t xml:space="preserve">Derogations of Art. 26(1) Data Protection Directive, including the consent of the data subject (under certain conditions) </w:t>
      </w:r>
    </w:p>
    <w:p w14:paraId="7FB2548E" w14:textId="77777777" w:rsidR="00B64E06" w:rsidRPr="006B1741" w:rsidRDefault="00B64E06" w:rsidP="00B64E06">
      <w:pPr>
        <w:widowControl w:val="0"/>
        <w:autoSpaceDE w:val="0"/>
        <w:autoSpaceDN w:val="0"/>
        <w:adjustRightInd w:val="0"/>
        <w:spacing w:after="240" w:line="240" w:lineRule="auto"/>
        <w:rPr>
          <w:rFonts w:ascii="Helvetica" w:hAnsi="Helvetica" w:cs="Helvetica"/>
          <w:bCs/>
          <w:sz w:val="24"/>
          <w:szCs w:val="24"/>
          <w:lang w:val="en-US"/>
        </w:rPr>
      </w:pPr>
      <w:r w:rsidRPr="006B1741">
        <w:rPr>
          <w:rFonts w:ascii="Helvetica" w:hAnsi="Helvetica" w:cs="Helvetica"/>
          <w:bCs/>
          <w:sz w:val="24"/>
          <w:szCs w:val="24"/>
          <w:lang w:val="en-US"/>
        </w:rPr>
        <w:t xml:space="preserve">Companies operating in other EU Member States should consult the relevant data protection authorities in those markets as requirements for the lawful transfer of personal data vary across countries. </w:t>
      </w:r>
    </w:p>
    <w:p w14:paraId="7762DB72" w14:textId="77777777" w:rsidR="00B64E06" w:rsidRPr="003D2489" w:rsidRDefault="00B64E06" w:rsidP="00B64E06">
      <w:pPr>
        <w:widowControl w:val="0"/>
        <w:autoSpaceDE w:val="0"/>
        <w:autoSpaceDN w:val="0"/>
        <w:adjustRightInd w:val="0"/>
        <w:spacing w:after="240" w:line="240" w:lineRule="auto"/>
        <w:rPr>
          <w:rFonts w:ascii="Times" w:hAnsi="Times"/>
          <w:sz w:val="24"/>
          <w:lang w:val="en-US"/>
        </w:rPr>
      </w:pPr>
      <w:r w:rsidRPr="006270F8">
        <w:rPr>
          <w:rFonts w:ascii="Helvetica" w:hAnsi="Helvetica" w:cs="Helvetica"/>
          <w:b/>
          <w:bCs/>
          <w:color w:val="FC4F08"/>
          <w:sz w:val="24"/>
          <w:szCs w:val="24"/>
          <w:lang w:val="en-US"/>
        </w:rPr>
        <w:t xml:space="preserve">Q. </w:t>
      </w:r>
      <w:r w:rsidRPr="003D2489">
        <w:rPr>
          <w:rFonts w:ascii="Helvetica" w:hAnsi="Helvetica"/>
          <w:b/>
          <w:color w:val="FC4F08"/>
          <w:sz w:val="24"/>
          <w:lang w:val="en-US"/>
        </w:rPr>
        <w:t>How do I stay up-to-date?</w:t>
      </w:r>
    </w:p>
    <w:p w14:paraId="26899B07" w14:textId="77777777" w:rsidR="00B64E06" w:rsidRPr="003D2489" w:rsidRDefault="00B64E06" w:rsidP="00B64E06">
      <w:pPr>
        <w:widowControl w:val="0"/>
        <w:autoSpaceDE w:val="0"/>
        <w:autoSpaceDN w:val="0"/>
        <w:adjustRightInd w:val="0"/>
        <w:spacing w:after="240" w:line="240" w:lineRule="auto"/>
        <w:rPr>
          <w:rFonts w:ascii="Times" w:hAnsi="Times"/>
          <w:sz w:val="24"/>
          <w:lang w:val="en-US"/>
        </w:rPr>
      </w:pPr>
      <w:r w:rsidRPr="003D2489">
        <w:rPr>
          <w:rFonts w:ascii="Arial" w:hAnsi="Arial"/>
          <w:sz w:val="24"/>
          <w:lang w:val="en-US"/>
        </w:rPr>
        <w:t>A.</w:t>
      </w:r>
      <w:r w:rsidRPr="006270F8">
        <w:rPr>
          <w:rFonts w:ascii="Arial" w:hAnsi="Arial" w:cs="Arial"/>
          <w:sz w:val="24"/>
          <w:szCs w:val="24"/>
          <w:lang w:val="en-US"/>
        </w:rPr>
        <w:t xml:space="preserve"> </w:t>
      </w:r>
      <w:r w:rsidRPr="00317590">
        <w:rPr>
          <w:rFonts w:ascii="Arial" w:hAnsi="Arial"/>
          <w:sz w:val="24"/>
          <w:lang w:val="en-US"/>
        </w:rPr>
        <w:t xml:space="preserve">IAB UK will update this briefing paper </w:t>
      </w:r>
      <w:r>
        <w:rPr>
          <w:rFonts w:ascii="Arial" w:hAnsi="Arial"/>
          <w:sz w:val="24"/>
          <w:lang w:val="en-US"/>
        </w:rPr>
        <w:t>to reflect any further developments</w:t>
      </w:r>
      <w:r w:rsidRPr="006270F8">
        <w:rPr>
          <w:rFonts w:ascii="Arial" w:hAnsi="Arial" w:cs="Arial"/>
          <w:sz w:val="24"/>
          <w:szCs w:val="24"/>
          <w:lang w:val="en-US"/>
        </w:rPr>
        <w:t xml:space="preserve">. </w:t>
      </w:r>
      <w:r>
        <w:rPr>
          <w:rFonts w:ascii="Arial" w:hAnsi="Arial" w:cs="Arial"/>
          <w:sz w:val="24"/>
          <w:szCs w:val="24"/>
          <w:lang w:val="en-US"/>
        </w:rPr>
        <w:t>It</w:t>
      </w:r>
      <w:r w:rsidRPr="003D2489">
        <w:rPr>
          <w:rFonts w:ascii="Arial" w:hAnsi="Arial"/>
          <w:sz w:val="24"/>
          <w:lang w:val="en-US"/>
        </w:rPr>
        <w:t xml:space="preserve"> is recommended that </w:t>
      </w:r>
      <w:proofErr w:type="spellStart"/>
      <w:r w:rsidRPr="003D2489">
        <w:rPr>
          <w:rFonts w:ascii="Arial" w:hAnsi="Arial"/>
          <w:sz w:val="24"/>
          <w:lang w:val="en-US"/>
        </w:rPr>
        <w:t>organisations</w:t>
      </w:r>
      <w:proofErr w:type="spellEnd"/>
      <w:r w:rsidRPr="003D2489">
        <w:rPr>
          <w:rFonts w:ascii="Arial" w:hAnsi="Arial"/>
          <w:sz w:val="24"/>
          <w:lang w:val="en-US"/>
        </w:rPr>
        <w:t xml:space="preserve"> seek their own legal advice to ensure measures are in place to allow for the legal transfer of data from the UK to the U.S.</w:t>
      </w:r>
      <w:r>
        <w:rPr>
          <w:rFonts w:ascii="Arial" w:hAnsi="Arial" w:cs="Arial"/>
          <w:sz w:val="24"/>
          <w:szCs w:val="24"/>
          <w:lang w:val="en-US"/>
        </w:rPr>
        <w:t xml:space="preserve"> </w:t>
      </w:r>
    </w:p>
    <w:p w14:paraId="080D23B4" w14:textId="01047127" w:rsidR="00B64E06" w:rsidRPr="006B1741" w:rsidRDefault="00B64E06" w:rsidP="00B64E06">
      <w:pPr>
        <w:widowControl w:val="0"/>
        <w:autoSpaceDE w:val="0"/>
        <w:autoSpaceDN w:val="0"/>
        <w:adjustRightInd w:val="0"/>
        <w:spacing w:after="240" w:line="240" w:lineRule="auto"/>
        <w:jc w:val="center"/>
        <w:rPr>
          <w:rFonts w:cstheme="minorHAnsi"/>
          <w:sz w:val="24"/>
          <w:szCs w:val="24"/>
          <w:lang w:val="en-US"/>
        </w:rPr>
      </w:pPr>
      <w:r w:rsidRPr="006B1741">
        <w:rPr>
          <w:rFonts w:cstheme="minorHAnsi"/>
          <w:b/>
          <w:sz w:val="24"/>
          <w:szCs w:val="24"/>
          <w:lang w:val="en-US"/>
        </w:rPr>
        <w:t xml:space="preserve">For further information contact Yves </w:t>
      </w:r>
      <w:proofErr w:type="spellStart"/>
      <w:r w:rsidRPr="006B1741">
        <w:rPr>
          <w:rFonts w:cstheme="minorHAnsi"/>
          <w:b/>
          <w:sz w:val="24"/>
          <w:szCs w:val="24"/>
          <w:lang w:val="en-US"/>
        </w:rPr>
        <w:t>Schwarzbart</w:t>
      </w:r>
      <w:proofErr w:type="spellEnd"/>
      <w:r w:rsidRPr="006B1741">
        <w:rPr>
          <w:rFonts w:cstheme="minorHAnsi"/>
          <w:b/>
          <w:sz w:val="24"/>
          <w:szCs w:val="24"/>
          <w:lang w:val="en-US"/>
        </w:rPr>
        <w:t xml:space="preserve">, Acting Head of Policy &amp; Regulatory Affairs, at </w:t>
      </w:r>
      <w:r w:rsidRPr="006B1741">
        <w:rPr>
          <w:rFonts w:cstheme="minorHAnsi"/>
          <w:b/>
          <w:bCs/>
          <w:color w:val="0000FF"/>
          <w:sz w:val="24"/>
          <w:szCs w:val="24"/>
          <w:lang w:val="en-US"/>
        </w:rPr>
        <w:t>yves@iabuk.net</w:t>
      </w:r>
      <w:r w:rsidRPr="006B1741">
        <w:rPr>
          <w:rFonts w:cstheme="minorHAnsi"/>
          <w:b/>
          <w:color w:val="0000FF"/>
          <w:sz w:val="24"/>
          <w:szCs w:val="24"/>
          <w:lang w:val="en-US"/>
        </w:rPr>
        <w:t xml:space="preserve"> </w:t>
      </w:r>
      <w:r w:rsidRPr="006B1741">
        <w:rPr>
          <w:rFonts w:cstheme="minorHAnsi"/>
          <w:b/>
          <w:sz w:val="24"/>
          <w:szCs w:val="24"/>
          <w:lang w:val="en-US"/>
        </w:rPr>
        <w:t xml:space="preserve">or visit the </w:t>
      </w:r>
      <w:hyperlink r:id="rId17" w:history="1">
        <w:r w:rsidRPr="006B1741">
          <w:rPr>
            <w:rStyle w:val="Hyperlink"/>
            <w:rFonts w:cstheme="minorHAnsi"/>
            <w:b/>
            <w:sz w:val="24"/>
            <w:szCs w:val="24"/>
            <w:lang w:val="en-US"/>
          </w:rPr>
          <w:t>policy briefings</w:t>
        </w:r>
      </w:hyperlink>
      <w:r w:rsidRPr="006B1741">
        <w:rPr>
          <w:rFonts w:cstheme="minorHAnsi"/>
          <w:b/>
          <w:sz w:val="24"/>
          <w:szCs w:val="24"/>
          <w:lang w:val="en-US"/>
        </w:rPr>
        <w:t xml:space="preserve"> section on our</w:t>
      </w:r>
      <w:r w:rsidR="00196D2C">
        <w:rPr>
          <w:rFonts w:cstheme="minorHAnsi"/>
          <w:b/>
          <w:sz w:val="24"/>
          <w:szCs w:val="24"/>
          <w:lang w:val="en-US"/>
        </w:rPr>
        <w:t xml:space="preserve"> </w:t>
      </w:r>
      <w:hyperlink r:id="rId18" w:history="1">
        <w:r w:rsidR="00196D2C" w:rsidRPr="00196D2C">
          <w:rPr>
            <w:rStyle w:val="Hyperlink"/>
            <w:rFonts w:cstheme="minorHAnsi"/>
            <w:b/>
            <w:sz w:val="24"/>
            <w:szCs w:val="24"/>
            <w:lang w:val="en-US"/>
          </w:rPr>
          <w:t>website.</w:t>
        </w:r>
      </w:hyperlink>
    </w:p>
    <w:p w14:paraId="7E774E72" w14:textId="0305FAFC" w:rsidR="006E3EEB" w:rsidRPr="00B64E06" w:rsidRDefault="00B64E06" w:rsidP="00B64E06">
      <w:pPr>
        <w:widowControl w:val="0"/>
        <w:autoSpaceDE w:val="0"/>
        <w:autoSpaceDN w:val="0"/>
        <w:adjustRightInd w:val="0"/>
        <w:spacing w:after="240" w:line="240" w:lineRule="auto"/>
        <w:jc w:val="center"/>
        <w:rPr>
          <w:rFonts w:cstheme="minorHAnsi"/>
          <w:sz w:val="24"/>
          <w:szCs w:val="24"/>
        </w:rPr>
      </w:pPr>
      <w:r w:rsidRPr="006B1741">
        <w:rPr>
          <w:rFonts w:ascii="Helvetica" w:hAnsi="Helvetica"/>
          <w:i/>
          <w:sz w:val="20"/>
          <w:lang w:val="en-US"/>
        </w:rPr>
        <w:t xml:space="preserve">IAB UK, </w:t>
      </w:r>
      <w:r w:rsidRPr="006B1741">
        <w:rPr>
          <w:rFonts w:ascii="Helvetica" w:hAnsi="Helvetica" w:cs="Helvetica"/>
          <w:i/>
          <w:iCs/>
          <w:sz w:val="20"/>
          <w:szCs w:val="24"/>
          <w:lang w:val="en-US"/>
        </w:rPr>
        <w:t>July</w:t>
      </w:r>
      <w:r w:rsidRPr="006B1741">
        <w:rPr>
          <w:rFonts w:ascii="Helvetica" w:hAnsi="Helvetica"/>
          <w:i/>
          <w:sz w:val="20"/>
          <w:lang w:val="en-US"/>
        </w:rPr>
        <w:t xml:space="preserve"> 2016</w:t>
      </w:r>
    </w:p>
    <w:sectPr w:rsidR="006E3EEB" w:rsidRPr="00B64E06" w:rsidSect="00086D3E">
      <w:headerReference w:type="even" r:id="rId19"/>
      <w:headerReference w:type="default" r:id="rId20"/>
      <w:footerReference w:type="even" r:id="rId21"/>
      <w:footerReference w:type="default" r:id="rId22"/>
      <w:headerReference w:type="first" r:id="rId23"/>
      <w:footerReference w:type="first" r:id="rId24"/>
      <w:pgSz w:w="11906" w:h="16838" w:code="9"/>
      <w:pgMar w:top="-2552" w:right="1841" w:bottom="1134" w:left="1287" w:header="454" w:footer="45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2F8D9" w14:textId="77777777" w:rsidR="004622D5" w:rsidRDefault="004622D5" w:rsidP="00337E2D">
      <w:pPr>
        <w:spacing w:after="0" w:line="240" w:lineRule="auto"/>
      </w:pPr>
      <w:r>
        <w:separator/>
      </w:r>
    </w:p>
  </w:endnote>
  <w:endnote w:type="continuationSeparator" w:id="0">
    <w:p w14:paraId="6D250F8F" w14:textId="77777777" w:rsidR="004622D5" w:rsidRDefault="004622D5" w:rsidP="00337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VAG Rounded Light">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D097F" w14:textId="77777777" w:rsidR="008B1F31" w:rsidRDefault="008B1F31" w:rsidP="00B444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7C4FCF" w14:textId="77777777" w:rsidR="00037D91" w:rsidRDefault="00037D91" w:rsidP="008B1F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21B5D" w14:textId="77777777" w:rsidR="008B1F31" w:rsidRDefault="008B1F31" w:rsidP="00B444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45D0">
      <w:rPr>
        <w:rStyle w:val="PageNumber"/>
        <w:noProof/>
      </w:rPr>
      <w:t>2</w:t>
    </w:r>
    <w:r>
      <w:rPr>
        <w:rStyle w:val="PageNumber"/>
      </w:rPr>
      <w:fldChar w:fldCharType="end"/>
    </w:r>
  </w:p>
  <w:p w14:paraId="5107ECEC" w14:textId="77777777" w:rsidR="00396CAB" w:rsidRPr="00C86D57" w:rsidRDefault="00396CAB" w:rsidP="008B1F31">
    <w:pPr>
      <w:pStyle w:val="BasicParagraph"/>
      <w:tabs>
        <w:tab w:val="left" w:pos="1729"/>
      </w:tabs>
      <w:ind w:right="360"/>
      <w:rPr>
        <w:rStyle w:val="Letterhead"/>
      </w:rPr>
    </w:pPr>
    <w:r w:rsidRPr="00C86D57">
      <w:rPr>
        <w:rStyle w:val="Letterhead"/>
      </w:rPr>
      <w:tab/>
    </w:r>
    <w:r>
      <w:rPr>
        <w:rStyle w:val="Letterhead"/>
      </w:rPr>
      <w:t>67-68 Long Acre</w:t>
    </w:r>
    <w:r>
      <w:rPr>
        <w:rStyle w:val="Letterhead"/>
      </w:rPr>
      <w:tab/>
    </w:r>
  </w:p>
  <w:p w14:paraId="3818F2E6" w14:textId="77777777" w:rsidR="00396CAB" w:rsidRPr="00C86D57" w:rsidRDefault="00396CAB" w:rsidP="00396CAB">
    <w:pPr>
      <w:pStyle w:val="BasicParagraph"/>
      <w:tabs>
        <w:tab w:val="left" w:pos="1729"/>
      </w:tabs>
      <w:rPr>
        <w:rStyle w:val="Letterhead"/>
      </w:rPr>
    </w:pPr>
    <w:r w:rsidRPr="00C86D57">
      <w:rPr>
        <w:rStyle w:val="Letterhead"/>
      </w:rPr>
      <w:t>020 7050 6969</w:t>
    </w:r>
    <w:r w:rsidRPr="00C86D57">
      <w:rPr>
        <w:rStyle w:val="Letterhead"/>
      </w:rPr>
      <w:tab/>
      <w:t xml:space="preserve">London </w:t>
    </w:r>
    <w:r>
      <w:rPr>
        <w:rStyle w:val="Letterhead"/>
      </w:rPr>
      <w:t>WC2E 9JD</w:t>
    </w:r>
    <w:r w:rsidRPr="00C86D57">
      <w:rPr>
        <w:rStyle w:val="Letterhead"/>
      </w:rPr>
      <w:t xml:space="preserve"> </w:t>
    </w:r>
  </w:p>
  <w:p w14:paraId="4900A121" w14:textId="77777777" w:rsidR="006E1A0D" w:rsidRPr="003802B0" w:rsidRDefault="006E1A0D" w:rsidP="003802B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CA42A" w14:textId="0DF0BE0F" w:rsidR="006E1A0D" w:rsidRPr="00C86D57" w:rsidRDefault="006E1A0D" w:rsidP="00DD01C5">
    <w:pPr>
      <w:pStyle w:val="BasicParagraph"/>
      <w:tabs>
        <w:tab w:val="left" w:pos="1729"/>
      </w:tabs>
      <w:rPr>
        <w:rStyle w:val="Letterhead"/>
      </w:rPr>
    </w:pPr>
    <w:r w:rsidRPr="00C86D57">
      <w:rPr>
        <w:rStyle w:val="Letterhead"/>
      </w:rPr>
      <w:tab/>
    </w:r>
    <w:r w:rsidR="000B5520">
      <w:rPr>
        <w:rStyle w:val="Letterhead"/>
      </w:rPr>
      <w:t>67-68 Long Acre</w:t>
    </w:r>
    <w:r>
      <w:rPr>
        <w:rStyle w:val="Letterhead"/>
      </w:rPr>
      <w:tab/>
    </w:r>
  </w:p>
  <w:p w14:paraId="29E2CB02" w14:textId="15E70404" w:rsidR="006E1A0D" w:rsidRPr="00C86D57" w:rsidRDefault="006E1A0D" w:rsidP="00DD01C5">
    <w:pPr>
      <w:pStyle w:val="BasicParagraph"/>
      <w:tabs>
        <w:tab w:val="left" w:pos="1729"/>
      </w:tabs>
      <w:rPr>
        <w:rStyle w:val="Letterhead"/>
      </w:rPr>
    </w:pPr>
    <w:r w:rsidRPr="00C86D57">
      <w:rPr>
        <w:rStyle w:val="Letterhead"/>
      </w:rPr>
      <w:t>020 7050 6969</w:t>
    </w:r>
    <w:r w:rsidRPr="00C86D57">
      <w:rPr>
        <w:rStyle w:val="Letterhead"/>
      </w:rPr>
      <w:tab/>
      <w:t xml:space="preserve">London </w:t>
    </w:r>
    <w:r w:rsidR="000B5520">
      <w:rPr>
        <w:rStyle w:val="Letterhead"/>
      </w:rPr>
      <w:t>WC2E 9JD</w:t>
    </w:r>
    <w:r w:rsidRPr="00C86D57">
      <w:rPr>
        <w:rStyle w:val="Letterhead"/>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142DC3" w14:textId="77777777" w:rsidR="004622D5" w:rsidRDefault="004622D5" w:rsidP="00337E2D">
      <w:pPr>
        <w:spacing w:after="0" w:line="240" w:lineRule="auto"/>
      </w:pPr>
      <w:r>
        <w:separator/>
      </w:r>
    </w:p>
  </w:footnote>
  <w:footnote w:type="continuationSeparator" w:id="0">
    <w:p w14:paraId="677069D5" w14:textId="77777777" w:rsidR="004622D5" w:rsidRDefault="004622D5" w:rsidP="00337E2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64AC3" w14:textId="77777777" w:rsidR="00037D91" w:rsidRDefault="00037D9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EA862" w14:textId="77777777" w:rsidR="006E1A0D" w:rsidRDefault="006E1A0D" w:rsidP="002F57C7">
    <w:pPr>
      <w:pStyle w:val="Header"/>
      <w:spacing w:line="2268" w:lineRule="exac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D0103" w14:textId="0B5CA140" w:rsidR="006E1A0D" w:rsidRPr="00ED5E25" w:rsidRDefault="006E1A0D" w:rsidP="00C93E65">
    <w:pPr>
      <w:pStyle w:val="Header"/>
      <w:tabs>
        <w:tab w:val="clear" w:pos="4513"/>
        <w:tab w:val="clear" w:pos="9026"/>
        <w:tab w:val="left" w:pos="3315"/>
      </w:tabs>
      <w:spacing w:after="1084" w:line="1800" w:lineRule="exact"/>
      <w:ind w:left="-811"/>
    </w:pPr>
    <w:r>
      <w:t xml:space="preserve"> </w:t>
    </w:r>
    <w:r w:rsidR="00133EE0" w:rsidRPr="00133EE0">
      <w:rPr>
        <w:noProof/>
        <w:lang w:val="en-US"/>
      </w:rPr>
      <w:drawing>
        <wp:inline distT="0" distB="0" distL="0" distR="0" wp14:anchorId="16415FD3" wp14:editId="5208E930">
          <wp:extent cx="1616142" cy="910807"/>
          <wp:effectExtent l="0" t="0" r="952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b-lockup-0-61-97-0.jpg"/>
                  <pic:cNvPicPr/>
                </pic:nvPicPr>
                <pic:blipFill>
                  <a:blip r:embed="rId1">
                    <a:extLst>
                      <a:ext uri="{28A0092B-C50C-407E-A947-70E740481C1C}">
                        <a14:useLocalDpi xmlns:a14="http://schemas.microsoft.com/office/drawing/2010/main" val="0"/>
                      </a:ext>
                    </a:extLst>
                  </a:blip>
                  <a:stretch>
                    <a:fillRect/>
                  </a:stretch>
                </pic:blipFill>
                <pic:spPr>
                  <a:xfrm>
                    <a:off x="0" y="0"/>
                    <a:ext cx="1618483" cy="912127"/>
                  </a:xfrm>
                  <a:prstGeom prst="rect">
                    <a:avLst/>
                  </a:prstGeom>
                </pic:spPr>
              </pic:pic>
            </a:graphicData>
          </a:graphic>
        </wp:inline>
      </w:drawing>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933"/>
    <w:multiLevelType w:val="hybridMultilevel"/>
    <w:tmpl w:val="430CA9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034766DC"/>
    <w:multiLevelType w:val="hybridMultilevel"/>
    <w:tmpl w:val="AADE9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84186F"/>
    <w:multiLevelType w:val="multilevel"/>
    <w:tmpl w:val="25105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BF0F1E"/>
    <w:multiLevelType w:val="hybridMultilevel"/>
    <w:tmpl w:val="1744D312"/>
    <w:lvl w:ilvl="0" w:tplc="CDDC2870">
      <w:start w:val="1"/>
      <w:numFmt w:val="decimal"/>
      <w:lvlText w:val="%1."/>
      <w:lvlJc w:val="left"/>
      <w:pPr>
        <w:ind w:left="720" w:hanging="360"/>
      </w:pPr>
      <w:rPr>
        <w:rFonts w:hint="default"/>
        <w:b/>
      </w:rPr>
    </w:lvl>
    <w:lvl w:ilvl="1" w:tplc="23CA7A3E">
      <w:start w:val="1"/>
      <w:numFmt w:val="lowerLetter"/>
      <w:lvlText w:val="%2."/>
      <w:lvlJc w:val="left"/>
      <w:pPr>
        <w:ind w:left="1440" w:hanging="360"/>
      </w:pPr>
      <w:rPr>
        <w:b/>
      </w:rPr>
    </w:lvl>
    <w:lvl w:ilvl="2" w:tplc="1B5C099A">
      <w:start w:val="1"/>
      <w:numFmt w:val="lowerRoman"/>
      <w:lvlText w:val="%3."/>
      <w:lvlJc w:val="right"/>
      <w:pPr>
        <w:ind w:left="2160" w:hanging="180"/>
      </w:pPr>
      <w:rPr>
        <w:b/>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0C74A7"/>
    <w:multiLevelType w:val="hybridMultilevel"/>
    <w:tmpl w:val="A826306E"/>
    <w:lvl w:ilvl="0" w:tplc="6CA08DFE">
      <w:start w:val="1"/>
      <w:numFmt w:val="bullet"/>
      <w:pStyle w:val="Bulletsubheadlis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7A50215"/>
    <w:multiLevelType w:val="hybridMultilevel"/>
    <w:tmpl w:val="089CB2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991274E"/>
    <w:multiLevelType w:val="hybridMultilevel"/>
    <w:tmpl w:val="593E0256"/>
    <w:lvl w:ilvl="0" w:tplc="377CE17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532B3D"/>
    <w:multiLevelType w:val="hybridMultilevel"/>
    <w:tmpl w:val="9470FB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C5A53EA"/>
    <w:multiLevelType w:val="hybridMultilevel"/>
    <w:tmpl w:val="BD7A63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D1C02D0"/>
    <w:multiLevelType w:val="hybridMultilevel"/>
    <w:tmpl w:val="C27EEA50"/>
    <w:lvl w:ilvl="0" w:tplc="C99AA2BE">
      <w:start w:val="1"/>
      <w:numFmt w:val="decimal"/>
      <w:lvlText w:val="%1."/>
      <w:lvlJc w:val="left"/>
      <w:pPr>
        <w:ind w:left="1440" w:hanging="360"/>
      </w:pPr>
      <w:rPr>
        <w:sz w:val="36"/>
        <w:szCs w:val="3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D7C5B0E"/>
    <w:multiLevelType w:val="hybridMultilevel"/>
    <w:tmpl w:val="452C08D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1671E26"/>
    <w:multiLevelType w:val="hybridMultilevel"/>
    <w:tmpl w:val="C2408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4992A91"/>
    <w:multiLevelType w:val="hybridMultilevel"/>
    <w:tmpl w:val="77BAAC56"/>
    <w:lvl w:ilvl="0" w:tplc="568803B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6D73BB2"/>
    <w:multiLevelType w:val="hybridMultilevel"/>
    <w:tmpl w:val="C5BE99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C945EEC"/>
    <w:multiLevelType w:val="hybridMultilevel"/>
    <w:tmpl w:val="ADBE05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nsid w:val="2D1F4183"/>
    <w:multiLevelType w:val="hybridMultilevel"/>
    <w:tmpl w:val="142632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F7A1E70"/>
    <w:multiLevelType w:val="hybridMultilevel"/>
    <w:tmpl w:val="2F067B02"/>
    <w:lvl w:ilvl="0" w:tplc="9864C904">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FF806B9"/>
    <w:multiLevelType w:val="hybridMultilevel"/>
    <w:tmpl w:val="3AF8B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2CF706F"/>
    <w:multiLevelType w:val="multilevel"/>
    <w:tmpl w:val="5E986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351B1989"/>
    <w:multiLevelType w:val="hybridMultilevel"/>
    <w:tmpl w:val="6B483532"/>
    <w:lvl w:ilvl="0" w:tplc="91E0B7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74477BD"/>
    <w:multiLevelType w:val="hybridMultilevel"/>
    <w:tmpl w:val="B0DC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153580"/>
    <w:multiLevelType w:val="hybridMultilevel"/>
    <w:tmpl w:val="65A26A00"/>
    <w:lvl w:ilvl="0" w:tplc="0809000F">
      <w:start w:val="1"/>
      <w:numFmt w:val="decimal"/>
      <w:lvlText w:val="%1."/>
      <w:lvlJc w:val="left"/>
      <w:pPr>
        <w:ind w:left="2700" w:hanging="360"/>
      </w:p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22">
    <w:nsid w:val="3F014179"/>
    <w:multiLevelType w:val="hybridMultilevel"/>
    <w:tmpl w:val="0DBE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F3F078C"/>
    <w:multiLevelType w:val="hybridMultilevel"/>
    <w:tmpl w:val="68340A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42F871CC"/>
    <w:multiLevelType w:val="hybridMultilevel"/>
    <w:tmpl w:val="D478A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AA74EB"/>
    <w:multiLevelType w:val="hybridMultilevel"/>
    <w:tmpl w:val="585886FA"/>
    <w:lvl w:ilvl="0" w:tplc="A76EAFEE">
      <w:start w:val="1"/>
      <w:numFmt w:val="bullet"/>
      <w:lvlText w:val=""/>
      <w:lvlJc w:val="left"/>
      <w:pPr>
        <w:tabs>
          <w:tab w:val="num" w:pos="720"/>
        </w:tabs>
        <w:ind w:left="720" w:hanging="360"/>
      </w:pPr>
      <w:rPr>
        <w:rFonts w:ascii="Wingdings" w:hAnsi="Wingdings" w:hint="default"/>
      </w:rPr>
    </w:lvl>
    <w:lvl w:ilvl="1" w:tplc="CFBCEE28" w:tentative="1">
      <w:start w:val="1"/>
      <w:numFmt w:val="bullet"/>
      <w:lvlText w:val=""/>
      <w:lvlJc w:val="left"/>
      <w:pPr>
        <w:tabs>
          <w:tab w:val="num" w:pos="1440"/>
        </w:tabs>
        <w:ind w:left="1440" w:hanging="360"/>
      </w:pPr>
      <w:rPr>
        <w:rFonts w:ascii="Wingdings" w:hAnsi="Wingdings" w:hint="default"/>
      </w:rPr>
    </w:lvl>
    <w:lvl w:ilvl="2" w:tplc="06926C68" w:tentative="1">
      <w:start w:val="1"/>
      <w:numFmt w:val="bullet"/>
      <w:lvlText w:val=""/>
      <w:lvlJc w:val="left"/>
      <w:pPr>
        <w:tabs>
          <w:tab w:val="num" w:pos="2160"/>
        </w:tabs>
        <w:ind w:left="2160" w:hanging="360"/>
      </w:pPr>
      <w:rPr>
        <w:rFonts w:ascii="Wingdings" w:hAnsi="Wingdings" w:hint="default"/>
      </w:rPr>
    </w:lvl>
    <w:lvl w:ilvl="3" w:tplc="487E7DC6" w:tentative="1">
      <w:start w:val="1"/>
      <w:numFmt w:val="bullet"/>
      <w:lvlText w:val=""/>
      <w:lvlJc w:val="left"/>
      <w:pPr>
        <w:tabs>
          <w:tab w:val="num" w:pos="2880"/>
        </w:tabs>
        <w:ind w:left="2880" w:hanging="360"/>
      </w:pPr>
      <w:rPr>
        <w:rFonts w:ascii="Wingdings" w:hAnsi="Wingdings" w:hint="default"/>
      </w:rPr>
    </w:lvl>
    <w:lvl w:ilvl="4" w:tplc="BA92EF8C" w:tentative="1">
      <w:start w:val="1"/>
      <w:numFmt w:val="bullet"/>
      <w:lvlText w:val=""/>
      <w:lvlJc w:val="left"/>
      <w:pPr>
        <w:tabs>
          <w:tab w:val="num" w:pos="3600"/>
        </w:tabs>
        <w:ind w:left="3600" w:hanging="360"/>
      </w:pPr>
      <w:rPr>
        <w:rFonts w:ascii="Wingdings" w:hAnsi="Wingdings" w:hint="default"/>
      </w:rPr>
    </w:lvl>
    <w:lvl w:ilvl="5" w:tplc="5034526C" w:tentative="1">
      <w:start w:val="1"/>
      <w:numFmt w:val="bullet"/>
      <w:lvlText w:val=""/>
      <w:lvlJc w:val="left"/>
      <w:pPr>
        <w:tabs>
          <w:tab w:val="num" w:pos="4320"/>
        </w:tabs>
        <w:ind w:left="4320" w:hanging="360"/>
      </w:pPr>
      <w:rPr>
        <w:rFonts w:ascii="Wingdings" w:hAnsi="Wingdings" w:hint="default"/>
      </w:rPr>
    </w:lvl>
    <w:lvl w:ilvl="6" w:tplc="749AC1F6" w:tentative="1">
      <w:start w:val="1"/>
      <w:numFmt w:val="bullet"/>
      <w:lvlText w:val=""/>
      <w:lvlJc w:val="left"/>
      <w:pPr>
        <w:tabs>
          <w:tab w:val="num" w:pos="5040"/>
        </w:tabs>
        <w:ind w:left="5040" w:hanging="360"/>
      </w:pPr>
      <w:rPr>
        <w:rFonts w:ascii="Wingdings" w:hAnsi="Wingdings" w:hint="default"/>
      </w:rPr>
    </w:lvl>
    <w:lvl w:ilvl="7" w:tplc="777A0DCA" w:tentative="1">
      <w:start w:val="1"/>
      <w:numFmt w:val="bullet"/>
      <w:lvlText w:val=""/>
      <w:lvlJc w:val="left"/>
      <w:pPr>
        <w:tabs>
          <w:tab w:val="num" w:pos="5760"/>
        </w:tabs>
        <w:ind w:left="5760" w:hanging="360"/>
      </w:pPr>
      <w:rPr>
        <w:rFonts w:ascii="Wingdings" w:hAnsi="Wingdings" w:hint="default"/>
      </w:rPr>
    </w:lvl>
    <w:lvl w:ilvl="8" w:tplc="6F709F84" w:tentative="1">
      <w:start w:val="1"/>
      <w:numFmt w:val="bullet"/>
      <w:lvlText w:val=""/>
      <w:lvlJc w:val="left"/>
      <w:pPr>
        <w:tabs>
          <w:tab w:val="num" w:pos="6480"/>
        </w:tabs>
        <w:ind w:left="6480" w:hanging="360"/>
      </w:pPr>
      <w:rPr>
        <w:rFonts w:ascii="Wingdings" w:hAnsi="Wingdings" w:hint="default"/>
      </w:rPr>
    </w:lvl>
  </w:abstractNum>
  <w:abstractNum w:abstractNumId="26">
    <w:nsid w:val="4BE71A44"/>
    <w:multiLevelType w:val="hybridMultilevel"/>
    <w:tmpl w:val="A50AD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D113D19"/>
    <w:multiLevelType w:val="hybridMultilevel"/>
    <w:tmpl w:val="5FE07B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nsid w:val="518C245B"/>
    <w:multiLevelType w:val="hybridMultilevel"/>
    <w:tmpl w:val="9A3A0D2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nsid w:val="53A63EE9"/>
    <w:multiLevelType w:val="hybridMultilevel"/>
    <w:tmpl w:val="201892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54546931"/>
    <w:multiLevelType w:val="hybridMultilevel"/>
    <w:tmpl w:val="6D38974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nsid w:val="55E158D0"/>
    <w:multiLevelType w:val="hybridMultilevel"/>
    <w:tmpl w:val="CDD86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8561669"/>
    <w:multiLevelType w:val="hybridMultilevel"/>
    <w:tmpl w:val="6D62E17E"/>
    <w:lvl w:ilvl="0" w:tplc="433814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5C0571D1"/>
    <w:multiLevelType w:val="hybridMultilevel"/>
    <w:tmpl w:val="5AAA86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5C445B59"/>
    <w:multiLevelType w:val="hybridMultilevel"/>
    <w:tmpl w:val="8556D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13D3D00"/>
    <w:multiLevelType w:val="hybridMultilevel"/>
    <w:tmpl w:val="C632E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3D70C87"/>
    <w:multiLevelType w:val="hybridMultilevel"/>
    <w:tmpl w:val="7BBE9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771347D"/>
    <w:multiLevelType w:val="hybridMultilevel"/>
    <w:tmpl w:val="DC08B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7DE6E3D"/>
    <w:multiLevelType w:val="hybridMultilevel"/>
    <w:tmpl w:val="E3EC59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nsid w:val="685E365E"/>
    <w:multiLevelType w:val="hybridMultilevel"/>
    <w:tmpl w:val="C2E69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8C06E4A"/>
    <w:multiLevelType w:val="hybridMultilevel"/>
    <w:tmpl w:val="CD5A737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nsid w:val="6920514E"/>
    <w:multiLevelType w:val="hybridMultilevel"/>
    <w:tmpl w:val="DA522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96F14F1"/>
    <w:multiLevelType w:val="hybridMultilevel"/>
    <w:tmpl w:val="21AC11FE"/>
    <w:lvl w:ilvl="0" w:tplc="7F80BDBC">
      <w:start w:val="1"/>
      <w:numFmt w:val="decimal"/>
      <w:lvlText w:val="%1."/>
      <w:lvlJc w:val="left"/>
      <w:pPr>
        <w:tabs>
          <w:tab w:val="num" w:pos="720"/>
        </w:tabs>
        <w:ind w:left="720" w:hanging="360"/>
      </w:pPr>
    </w:lvl>
    <w:lvl w:ilvl="1" w:tplc="63A426CE" w:tentative="1">
      <w:start w:val="1"/>
      <w:numFmt w:val="decimal"/>
      <w:lvlText w:val="%2."/>
      <w:lvlJc w:val="left"/>
      <w:pPr>
        <w:tabs>
          <w:tab w:val="num" w:pos="1440"/>
        </w:tabs>
        <w:ind w:left="1440" w:hanging="360"/>
      </w:pPr>
    </w:lvl>
    <w:lvl w:ilvl="2" w:tplc="055610F4" w:tentative="1">
      <w:start w:val="1"/>
      <w:numFmt w:val="decimal"/>
      <w:lvlText w:val="%3."/>
      <w:lvlJc w:val="left"/>
      <w:pPr>
        <w:tabs>
          <w:tab w:val="num" w:pos="2160"/>
        </w:tabs>
        <w:ind w:left="2160" w:hanging="360"/>
      </w:pPr>
    </w:lvl>
    <w:lvl w:ilvl="3" w:tplc="A51476A4" w:tentative="1">
      <w:start w:val="1"/>
      <w:numFmt w:val="decimal"/>
      <w:lvlText w:val="%4."/>
      <w:lvlJc w:val="left"/>
      <w:pPr>
        <w:tabs>
          <w:tab w:val="num" w:pos="2880"/>
        </w:tabs>
        <w:ind w:left="2880" w:hanging="360"/>
      </w:pPr>
    </w:lvl>
    <w:lvl w:ilvl="4" w:tplc="1692212E" w:tentative="1">
      <w:start w:val="1"/>
      <w:numFmt w:val="decimal"/>
      <w:lvlText w:val="%5."/>
      <w:lvlJc w:val="left"/>
      <w:pPr>
        <w:tabs>
          <w:tab w:val="num" w:pos="3600"/>
        </w:tabs>
        <w:ind w:left="3600" w:hanging="360"/>
      </w:pPr>
    </w:lvl>
    <w:lvl w:ilvl="5" w:tplc="4CB411A0" w:tentative="1">
      <w:start w:val="1"/>
      <w:numFmt w:val="decimal"/>
      <w:lvlText w:val="%6."/>
      <w:lvlJc w:val="left"/>
      <w:pPr>
        <w:tabs>
          <w:tab w:val="num" w:pos="4320"/>
        </w:tabs>
        <w:ind w:left="4320" w:hanging="360"/>
      </w:pPr>
    </w:lvl>
    <w:lvl w:ilvl="6" w:tplc="A3F2EB78" w:tentative="1">
      <w:start w:val="1"/>
      <w:numFmt w:val="decimal"/>
      <w:lvlText w:val="%7."/>
      <w:lvlJc w:val="left"/>
      <w:pPr>
        <w:tabs>
          <w:tab w:val="num" w:pos="5040"/>
        </w:tabs>
        <w:ind w:left="5040" w:hanging="360"/>
      </w:pPr>
    </w:lvl>
    <w:lvl w:ilvl="7" w:tplc="EDC41792" w:tentative="1">
      <w:start w:val="1"/>
      <w:numFmt w:val="decimal"/>
      <w:lvlText w:val="%8."/>
      <w:lvlJc w:val="left"/>
      <w:pPr>
        <w:tabs>
          <w:tab w:val="num" w:pos="5760"/>
        </w:tabs>
        <w:ind w:left="5760" w:hanging="360"/>
      </w:pPr>
    </w:lvl>
    <w:lvl w:ilvl="8" w:tplc="B26457B2" w:tentative="1">
      <w:start w:val="1"/>
      <w:numFmt w:val="decimal"/>
      <w:lvlText w:val="%9."/>
      <w:lvlJc w:val="left"/>
      <w:pPr>
        <w:tabs>
          <w:tab w:val="num" w:pos="6480"/>
        </w:tabs>
        <w:ind w:left="6480" w:hanging="360"/>
      </w:pPr>
    </w:lvl>
  </w:abstractNum>
  <w:abstractNum w:abstractNumId="43">
    <w:nsid w:val="77610F98"/>
    <w:multiLevelType w:val="hybridMultilevel"/>
    <w:tmpl w:val="B3BCE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8AB1D35"/>
    <w:multiLevelType w:val="hybridMultilevel"/>
    <w:tmpl w:val="9F7012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9421ACF"/>
    <w:multiLevelType w:val="hybridMultilevel"/>
    <w:tmpl w:val="AC604D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6">
    <w:nsid w:val="79910E5B"/>
    <w:multiLevelType w:val="hybridMultilevel"/>
    <w:tmpl w:val="90AC78C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CAE7830"/>
    <w:multiLevelType w:val="hybridMultilevel"/>
    <w:tmpl w:val="5B543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E1000FD"/>
    <w:multiLevelType w:val="hybridMultilevel"/>
    <w:tmpl w:val="85105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F970C0A"/>
    <w:multiLevelType w:val="hybridMultilevel"/>
    <w:tmpl w:val="28466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7"/>
  </w:num>
  <w:num w:numId="3">
    <w:abstractNumId w:val="38"/>
  </w:num>
  <w:num w:numId="4">
    <w:abstractNumId w:val="0"/>
  </w:num>
  <w:num w:numId="5">
    <w:abstractNumId w:val="30"/>
  </w:num>
  <w:num w:numId="6">
    <w:abstractNumId w:val="28"/>
  </w:num>
  <w:num w:numId="7">
    <w:abstractNumId w:val="45"/>
  </w:num>
  <w:num w:numId="8">
    <w:abstractNumId w:val="14"/>
  </w:num>
  <w:num w:numId="9">
    <w:abstractNumId w:val="39"/>
  </w:num>
  <w:num w:numId="10">
    <w:abstractNumId w:val="11"/>
  </w:num>
  <w:num w:numId="11">
    <w:abstractNumId w:val="36"/>
  </w:num>
  <w:num w:numId="12">
    <w:abstractNumId w:val="1"/>
  </w:num>
  <w:num w:numId="13">
    <w:abstractNumId w:val="17"/>
  </w:num>
  <w:num w:numId="14">
    <w:abstractNumId w:val="41"/>
  </w:num>
  <w:num w:numId="15">
    <w:abstractNumId w:val="47"/>
  </w:num>
  <w:num w:numId="16">
    <w:abstractNumId w:val="44"/>
  </w:num>
  <w:num w:numId="17">
    <w:abstractNumId w:val="42"/>
  </w:num>
  <w:num w:numId="18">
    <w:abstractNumId w:val="25"/>
  </w:num>
  <w:num w:numId="19">
    <w:abstractNumId w:val="48"/>
  </w:num>
  <w:num w:numId="20">
    <w:abstractNumId w:val="35"/>
  </w:num>
  <w:num w:numId="21">
    <w:abstractNumId w:val="24"/>
  </w:num>
  <w:num w:numId="22">
    <w:abstractNumId w:val="34"/>
  </w:num>
  <w:num w:numId="23">
    <w:abstractNumId w:val="22"/>
  </w:num>
  <w:num w:numId="24">
    <w:abstractNumId w:val="3"/>
  </w:num>
  <w:num w:numId="25">
    <w:abstractNumId w:val="21"/>
  </w:num>
  <w:num w:numId="26">
    <w:abstractNumId w:val="5"/>
  </w:num>
  <w:num w:numId="27">
    <w:abstractNumId w:val="40"/>
  </w:num>
  <w:num w:numId="28">
    <w:abstractNumId w:val="29"/>
  </w:num>
  <w:num w:numId="29">
    <w:abstractNumId w:val="8"/>
  </w:num>
  <w:num w:numId="30">
    <w:abstractNumId w:val="26"/>
  </w:num>
  <w:num w:numId="31">
    <w:abstractNumId w:val="15"/>
  </w:num>
  <w:num w:numId="32">
    <w:abstractNumId w:val="31"/>
  </w:num>
  <w:num w:numId="33">
    <w:abstractNumId w:val="46"/>
  </w:num>
  <w:num w:numId="34">
    <w:abstractNumId w:val="4"/>
  </w:num>
  <w:num w:numId="35">
    <w:abstractNumId w:val="10"/>
  </w:num>
  <w:num w:numId="36">
    <w:abstractNumId w:val="2"/>
  </w:num>
  <w:num w:numId="37">
    <w:abstractNumId w:val="16"/>
  </w:num>
  <w:num w:numId="38">
    <w:abstractNumId w:val="33"/>
  </w:num>
  <w:num w:numId="39">
    <w:abstractNumId w:val="37"/>
  </w:num>
  <w:num w:numId="40">
    <w:abstractNumId w:val="23"/>
  </w:num>
  <w:num w:numId="41">
    <w:abstractNumId w:val="18"/>
  </w:num>
  <w:num w:numId="42">
    <w:abstractNumId w:val="43"/>
  </w:num>
  <w:num w:numId="43">
    <w:abstractNumId w:val="9"/>
  </w:num>
  <w:num w:numId="44">
    <w:abstractNumId w:val="7"/>
  </w:num>
  <w:num w:numId="45">
    <w:abstractNumId w:val="13"/>
  </w:num>
  <w:num w:numId="46">
    <w:abstractNumId w:val="19"/>
  </w:num>
  <w:num w:numId="47">
    <w:abstractNumId w:val="49"/>
  </w:num>
  <w:num w:numId="48">
    <w:abstractNumId w:val="6"/>
  </w:num>
  <w:num w:numId="49">
    <w:abstractNumId w:val="12"/>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F2D"/>
    <w:rsid w:val="00003737"/>
    <w:rsid w:val="000273D7"/>
    <w:rsid w:val="000312B4"/>
    <w:rsid w:val="00037D91"/>
    <w:rsid w:val="00061BC4"/>
    <w:rsid w:val="000641D2"/>
    <w:rsid w:val="00086D3E"/>
    <w:rsid w:val="000A748D"/>
    <w:rsid w:val="000B5520"/>
    <w:rsid w:val="000D3E00"/>
    <w:rsid w:val="00133EE0"/>
    <w:rsid w:val="001518D3"/>
    <w:rsid w:val="00160919"/>
    <w:rsid w:val="00174164"/>
    <w:rsid w:val="001934C6"/>
    <w:rsid w:val="00196D2C"/>
    <w:rsid w:val="001B037C"/>
    <w:rsid w:val="001B6BCC"/>
    <w:rsid w:val="001D1EF4"/>
    <w:rsid w:val="001F6B16"/>
    <w:rsid w:val="00216505"/>
    <w:rsid w:val="00261ABE"/>
    <w:rsid w:val="002713A8"/>
    <w:rsid w:val="002F57C7"/>
    <w:rsid w:val="00317C21"/>
    <w:rsid w:val="003208B8"/>
    <w:rsid w:val="00337E2D"/>
    <w:rsid w:val="00357797"/>
    <w:rsid w:val="003802B0"/>
    <w:rsid w:val="00380369"/>
    <w:rsid w:val="00396CAB"/>
    <w:rsid w:val="003A12F3"/>
    <w:rsid w:val="003B7C8C"/>
    <w:rsid w:val="003F522A"/>
    <w:rsid w:val="00445BD8"/>
    <w:rsid w:val="004622D5"/>
    <w:rsid w:val="004802AD"/>
    <w:rsid w:val="0048264E"/>
    <w:rsid w:val="004963F6"/>
    <w:rsid w:val="004A26C8"/>
    <w:rsid w:val="004E3351"/>
    <w:rsid w:val="00501ABB"/>
    <w:rsid w:val="005338F0"/>
    <w:rsid w:val="00547316"/>
    <w:rsid w:val="00551CCB"/>
    <w:rsid w:val="00576068"/>
    <w:rsid w:val="00581281"/>
    <w:rsid w:val="00587712"/>
    <w:rsid w:val="00587821"/>
    <w:rsid w:val="005A79F0"/>
    <w:rsid w:val="005D3886"/>
    <w:rsid w:val="006274CA"/>
    <w:rsid w:val="00652C9F"/>
    <w:rsid w:val="006561B5"/>
    <w:rsid w:val="006609EC"/>
    <w:rsid w:val="00675A40"/>
    <w:rsid w:val="006809F0"/>
    <w:rsid w:val="006B58C4"/>
    <w:rsid w:val="006D096F"/>
    <w:rsid w:val="006E1A0D"/>
    <w:rsid w:val="006E3EEB"/>
    <w:rsid w:val="00716782"/>
    <w:rsid w:val="007379E3"/>
    <w:rsid w:val="00741012"/>
    <w:rsid w:val="00742419"/>
    <w:rsid w:val="0075043A"/>
    <w:rsid w:val="00775027"/>
    <w:rsid w:val="00792267"/>
    <w:rsid w:val="007A11B9"/>
    <w:rsid w:val="007A45D0"/>
    <w:rsid w:val="007B44C3"/>
    <w:rsid w:val="00802B53"/>
    <w:rsid w:val="00842C4C"/>
    <w:rsid w:val="008B1F31"/>
    <w:rsid w:val="008D538B"/>
    <w:rsid w:val="008E7674"/>
    <w:rsid w:val="00911C80"/>
    <w:rsid w:val="00932DF1"/>
    <w:rsid w:val="009468EB"/>
    <w:rsid w:val="00950A58"/>
    <w:rsid w:val="00967952"/>
    <w:rsid w:val="00994A6F"/>
    <w:rsid w:val="00A0136B"/>
    <w:rsid w:val="00A66F2D"/>
    <w:rsid w:val="00B2111A"/>
    <w:rsid w:val="00B26A4D"/>
    <w:rsid w:val="00B32543"/>
    <w:rsid w:val="00B374D6"/>
    <w:rsid w:val="00B64E06"/>
    <w:rsid w:val="00B70C87"/>
    <w:rsid w:val="00C1223A"/>
    <w:rsid w:val="00C45A8A"/>
    <w:rsid w:val="00C86D57"/>
    <w:rsid w:val="00C93E65"/>
    <w:rsid w:val="00CE5042"/>
    <w:rsid w:val="00D05BBA"/>
    <w:rsid w:val="00D075B2"/>
    <w:rsid w:val="00D177A6"/>
    <w:rsid w:val="00D55494"/>
    <w:rsid w:val="00D81979"/>
    <w:rsid w:val="00D94CA6"/>
    <w:rsid w:val="00DA135F"/>
    <w:rsid w:val="00DC114E"/>
    <w:rsid w:val="00DD01C5"/>
    <w:rsid w:val="00DF40EF"/>
    <w:rsid w:val="00DF7164"/>
    <w:rsid w:val="00E01208"/>
    <w:rsid w:val="00E570C8"/>
    <w:rsid w:val="00E917FB"/>
    <w:rsid w:val="00EC2AAA"/>
    <w:rsid w:val="00EC59C4"/>
    <w:rsid w:val="00ED5E25"/>
    <w:rsid w:val="00F0744F"/>
    <w:rsid w:val="00F07613"/>
    <w:rsid w:val="00F55658"/>
    <w:rsid w:val="00FE60EE"/>
    <w:rsid w:val="00FF16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F22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1C5"/>
    <w:pPr>
      <w:spacing w:line="288" w:lineRule="auto"/>
    </w:pPr>
    <w:rPr>
      <w:sz w:val="26"/>
    </w:rPr>
  </w:style>
  <w:style w:type="paragraph" w:styleId="Heading2">
    <w:name w:val="heading 2"/>
    <w:basedOn w:val="Normal"/>
    <w:next w:val="Normal"/>
    <w:link w:val="Heading2Char"/>
    <w:uiPriority w:val="9"/>
    <w:unhideWhenUsed/>
    <w:qFormat/>
    <w:rsid w:val="00086D3E"/>
    <w:pPr>
      <w:keepNext/>
      <w:keepLines/>
      <w:spacing w:before="200" w:after="0"/>
      <w:outlineLvl w:val="1"/>
    </w:pPr>
    <w:rPr>
      <w:rFonts w:asciiTheme="majorHAnsi" w:eastAsiaTheme="majorEastAsia" w:hAnsiTheme="majorHAnsi" w:cstheme="majorBidi"/>
      <w:b/>
      <w:bCs/>
      <w:color w:val="FF6300"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7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E2D"/>
    <w:rPr>
      <w:rFonts w:ascii="Tahoma" w:hAnsi="Tahoma" w:cs="Tahoma"/>
      <w:sz w:val="16"/>
      <w:szCs w:val="16"/>
    </w:rPr>
  </w:style>
  <w:style w:type="paragraph" w:styleId="Header">
    <w:name w:val="header"/>
    <w:basedOn w:val="Normal"/>
    <w:link w:val="HeaderChar"/>
    <w:uiPriority w:val="99"/>
    <w:unhideWhenUsed/>
    <w:rsid w:val="00337E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E2D"/>
  </w:style>
  <w:style w:type="paragraph" w:styleId="Footer">
    <w:name w:val="footer"/>
    <w:basedOn w:val="Normal"/>
    <w:link w:val="FooterChar"/>
    <w:uiPriority w:val="99"/>
    <w:unhideWhenUsed/>
    <w:rsid w:val="00337E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E2D"/>
  </w:style>
  <w:style w:type="table" w:styleId="TableGrid">
    <w:name w:val="Table Grid"/>
    <w:basedOn w:val="TableNormal"/>
    <w:uiPriority w:val="59"/>
    <w:rsid w:val="00337E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 Paragraph]"/>
    <w:basedOn w:val="Normal"/>
    <w:uiPriority w:val="99"/>
    <w:rsid w:val="00DF40EF"/>
    <w:pPr>
      <w:autoSpaceDE w:val="0"/>
      <w:autoSpaceDN w:val="0"/>
      <w:adjustRightInd w:val="0"/>
      <w:spacing w:after="0"/>
      <w:textAlignment w:val="center"/>
    </w:pPr>
    <w:rPr>
      <w:rFonts w:ascii="Times Regular" w:hAnsi="Times Regular" w:cs="Times Regular"/>
      <w:color w:val="000000"/>
      <w:sz w:val="24"/>
      <w:szCs w:val="24"/>
    </w:rPr>
  </w:style>
  <w:style w:type="character" w:styleId="Hyperlink">
    <w:name w:val="Hyperlink"/>
    <w:basedOn w:val="DefaultParagraphFont"/>
    <w:uiPriority w:val="99"/>
    <w:unhideWhenUsed/>
    <w:rsid w:val="00DD01C5"/>
    <w:rPr>
      <w:color w:val="0000FF" w:themeColor="hyperlink"/>
      <w:u w:val="single"/>
    </w:rPr>
  </w:style>
  <w:style w:type="paragraph" w:styleId="NoSpacing">
    <w:name w:val="No Spacing"/>
    <w:uiPriority w:val="1"/>
    <w:qFormat/>
    <w:rsid w:val="00842C4C"/>
    <w:pPr>
      <w:spacing w:after="0" w:line="288" w:lineRule="auto"/>
    </w:pPr>
    <w:rPr>
      <w:sz w:val="26"/>
    </w:rPr>
  </w:style>
  <w:style w:type="character" w:customStyle="1" w:styleId="Letterhead">
    <w:name w:val="Letterhead"/>
    <w:uiPriority w:val="1"/>
    <w:qFormat/>
    <w:rsid w:val="00C86D57"/>
    <w:rPr>
      <w:rFonts w:ascii="VAG Rounded Light" w:hAnsi="VAG Rounded Light" w:cs="VAG Rounded Light"/>
      <w:vanish w:val="0"/>
      <w:color w:val="828587"/>
      <w:spacing w:val="1"/>
      <w:sz w:val="16"/>
      <w:szCs w:val="16"/>
    </w:rPr>
  </w:style>
  <w:style w:type="paragraph" w:styleId="ListParagraph">
    <w:name w:val="List Paragraph"/>
    <w:basedOn w:val="Normal"/>
    <w:link w:val="ListParagraphChar"/>
    <w:uiPriority w:val="34"/>
    <w:qFormat/>
    <w:rsid w:val="001B6BCC"/>
    <w:pPr>
      <w:spacing w:line="276" w:lineRule="auto"/>
      <w:ind w:left="720"/>
      <w:contextualSpacing/>
    </w:pPr>
    <w:rPr>
      <w:sz w:val="22"/>
    </w:rPr>
  </w:style>
  <w:style w:type="table" w:customStyle="1" w:styleId="TableGrid1">
    <w:name w:val="Table Grid1"/>
    <w:basedOn w:val="TableNormal"/>
    <w:next w:val="TableGrid"/>
    <w:uiPriority w:val="59"/>
    <w:locked/>
    <w:rsid w:val="0016091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vent-orphans">
    <w:name w:val="prevent-orphans"/>
    <w:basedOn w:val="Normal"/>
    <w:rsid w:val="007A11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086D3E"/>
    <w:rPr>
      <w:rFonts w:asciiTheme="majorHAnsi" w:eastAsiaTheme="majorEastAsia" w:hAnsiTheme="majorHAnsi" w:cstheme="majorBidi"/>
      <w:b/>
      <w:bCs/>
      <w:color w:val="FF6300" w:themeColor="accent1"/>
      <w:sz w:val="26"/>
      <w:szCs w:val="26"/>
    </w:rPr>
  </w:style>
  <w:style w:type="paragraph" w:styleId="Title">
    <w:name w:val="Title"/>
    <w:basedOn w:val="Normal"/>
    <w:next w:val="Normal"/>
    <w:link w:val="TitleChar"/>
    <w:uiPriority w:val="10"/>
    <w:qFormat/>
    <w:rsid w:val="00086D3E"/>
    <w:pPr>
      <w:pBdr>
        <w:bottom w:val="single" w:sz="8" w:space="4" w:color="FF6300" w:themeColor="accent1"/>
      </w:pBdr>
      <w:spacing w:after="300" w:line="240" w:lineRule="auto"/>
      <w:contextualSpacing/>
    </w:pPr>
    <w:rPr>
      <w:rFonts w:asciiTheme="majorHAnsi" w:eastAsiaTheme="majorEastAsia" w:hAnsiTheme="majorHAnsi" w:cstheme="majorBidi"/>
      <w:color w:val="BF4A00" w:themeColor="text2" w:themeShade="BF"/>
      <w:spacing w:val="5"/>
      <w:kern w:val="28"/>
      <w:sz w:val="52"/>
      <w:szCs w:val="52"/>
    </w:rPr>
  </w:style>
  <w:style w:type="character" w:customStyle="1" w:styleId="TitleChar">
    <w:name w:val="Title Char"/>
    <w:basedOn w:val="DefaultParagraphFont"/>
    <w:link w:val="Title"/>
    <w:uiPriority w:val="10"/>
    <w:rsid w:val="00086D3E"/>
    <w:rPr>
      <w:rFonts w:asciiTheme="majorHAnsi" w:eastAsiaTheme="majorEastAsia" w:hAnsiTheme="majorHAnsi" w:cstheme="majorBidi"/>
      <w:color w:val="BF4A00" w:themeColor="text2" w:themeShade="BF"/>
      <w:spacing w:val="5"/>
      <w:kern w:val="28"/>
      <w:sz w:val="52"/>
      <w:szCs w:val="52"/>
    </w:rPr>
  </w:style>
  <w:style w:type="character" w:styleId="SubtleEmphasis">
    <w:name w:val="Subtle Emphasis"/>
    <w:basedOn w:val="DefaultParagraphFont"/>
    <w:uiPriority w:val="19"/>
    <w:qFormat/>
    <w:rsid w:val="00086D3E"/>
    <w:rPr>
      <w:i/>
      <w:iCs/>
      <w:color w:val="B5B7B8" w:themeColor="text1" w:themeTint="7F"/>
    </w:rPr>
  </w:style>
  <w:style w:type="character" w:styleId="Emphasis">
    <w:name w:val="Emphasis"/>
    <w:basedOn w:val="DefaultParagraphFont"/>
    <w:uiPriority w:val="20"/>
    <w:qFormat/>
    <w:rsid w:val="00086D3E"/>
    <w:rPr>
      <w:i/>
      <w:iCs/>
    </w:rPr>
  </w:style>
  <w:style w:type="character" w:styleId="IntenseEmphasis">
    <w:name w:val="Intense Emphasis"/>
    <w:basedOn w:val="DefaultParagraphFont"/>
    <w:uiPriority w:val="21"/>
    <w:qFormat/>
    <w:rsid w:val="00086D3E"/>
    <w:rPr>
      <w:b/>
      <w:bCs/>
      <w:i/>
      <w:iCs/>
      <w:color w:val="FF6300" w:themeColor="accent1"/>
    </w:rPr>
  </w:style>
  <w:style w:type="paragraph" w:customStyle="1" w:styleId="Bulletsubheadlist">
    <w:name w:val="Bullet subhead list"/>
    <w:basedOn w:val="ListParagraph"/>
    <w:link w:val="BulletsubheadlistChar"/>
    <w:qFormat/>
    <w:rsid w:val="00086D3E"/>
    <w:pPr>
      <w:numPr>
        <w:numId w:val="34"/>
      </w:numPr>
      <w:spacing w:line="288" w:lineRule="auto"/>
    </w:pPr>
    <w:rPr>
      <w:lang w:eastAsia="en-GB"/>
    </w:rPr>
  </w:style>
  <w:style w:type="character" w:customStyle="1" w:styleId="ListParagraphChar">
    <w:name w:val="List Paragraph Char"/>
    <w:basedOn w:val="DefaultParagraphFont"/>
    <w:link w:val="ListParagraph"/>
    <w:uiPriority w:val="34"/>
    <w:rsid w:val="00086D3E"/>
  </w:style>
  <w:style w:type="character" w:customStyle="1" w:styleId="BulletsubheadlistChar">
    <w:name w:val="Bullet subhead list Char"/>
    <w:basedOn w:val="ListParagraphChar"/>
    <w:link w:val="Bulletsubheadlist"/>
    <w:rsid w:val="00086D3E"/>
    <w:rPr>
      <w:lang w:eastAsia="en-GB"/>
    </w:rPr>
  </w:style>
  <w:style w:type="character" w:styleId="Strong">
    <w:name w:val="Strong"/>
    <w:basedOn w:val="DefaultParagraphFont"/>
    <w:uiPriority w:val="22"/>
    <w:qFormat/>
    <w:rsid w:val="00086D3E"/>
    <w:rPr>
      <w:b/>
      <w:bCs/>
    </w:rPr>
  </w:style>
  <w:style w:type="character" w:styleId="CommentReference">
    <w:name w:val="annotation reference"/>
    <w:basedOn w:val="DefaultParagraphFont"/>
    <w:uiPriority w:val="99"/>
    <w:semiHidden/>
    <w:unhideWhenUsed/>
    <w:rsid w:val="00086D3E"/>
    <w:rPr>
      <w:sz w:val="16"/>
      <w:szCs w:val="16"/>
    </w:rPr>
  </w:style>
  <w:style w:type="paragraph" w:customStyle="1" w:styleId="Default">
    <w:name w:val="Default"/>
    <w:rsid w:val="00086D3E"/>
    <w:pPr>
      <w:autoSpaceDE w:val="0"/>
      <w:autoSpaceDN w:val="0"/>
      <w:adjustRightInd w:val="0"/>
      <w:spacing w:after="0" w:line="240" w:lineRule="auto"/>
    </w:pPr>
    <w:rPr>
      <w:rFonts w:ascii="Verdana" w:hAnsi="Verdana" w:cs="Verdana"/>
      <w:color w:val="000000"/>
      <w:sz w:val="24"/>
      <w:szCs w:val="24"/>
    </w:rPr>
  </w:style>
  <w:style w:type="paragraph" w:styleId="PlainText">
    <w:name w:val="Plain Text"/>
    <w:basedOn w:val="Normal"/>
    <w:link w:val="PlainTextChar"/>
    <w:uiPriority w:val="99"/>
    <w:semiHidden/>
    <w:unhideWhenUsed/>
    <w:rsid w:val="00FE60EE"/>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FE60EE"/>
    <w:rPr>
      <w:rFonts w:ascii="Calibri" w:hAnsi="Calibri"/>
      <w:szCs w:val="21"/>
    </w:rPr>
  </w:style>
  <w:style w:type="character" w:styleId="PageNumber">
    <w:name w:val="page number"/>
    <w:basedOn w:val="DefaultParagraphFont"/>
    <w:uiPriority w:val="99"/>
    <w:semiHidden/>
    <w:unhideWhenUsed/>
    <w:rsid w:val="008B1F31"/>
  </w:style>
  <w:style w:type="character" w:styleId="FollowedHyperlink">
    <w:name w:val="FollowedHyperlink"/>
    <w:basedOn w:val="DefaultParagraphFont"/>
    <w:uiPriority w:val="99"/>
    <w:semiHidden/>
    <w:unhideWhenUsed/>
    <w:rsid w:val="00196D2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1C5"/>
    <w:pPr>
      <w:spacing w:line="288" w:lineRule="auto"/>
    </w:pPr>
    <w:rPr>
      <w:sz w:val="26"/>
    </w:rPr>
  </w:style>
  <w:style w:type="paragraph" w:styleId="Heading2">
    <w:name w:val="heading 2"/>
    <w:basedOn w:val="Normal"/>
    <w:next w:val="Normal"/>
    <w:link w:val="Heading2Char"/>
    <w:uiPriority w:val="9"/>
    <w:unhideWhenUsed/>
    <w:qFormat/>
    <w:rsid w:val="00086D3E"/>
    <w:pPr>
      <w:keepNext/>
      <w:keepLines/>
      <w:spacing w:before="200" w:after="0"/>
      <w:outlineLvl w:val="1"/>
    </w:pPr>
    <w:rPr>
      <w:rFonts w:asciiTheme="majorHAnsi" w:eastAsiaTheme="majorEastAsia" w:hAnsiTheme="majorHAnsi" w:cstheme="majorBidi"/>
      <w:b/>
      <w:bCs/>
      <w:color w:val="FF6300"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7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E2D"/>
    <w:rPr>
      <w:rFonts w:ascii="Tahoma" w:hAnsi="Tahoma" w:cs="Tahoma"/>
      <w:sz w:val="16"/>
      <w:szCs w:val="16"/>
    </w:rPr>
  </w:style>
  <w:style w:type="paragraph" w:styleId="Header">
    <w:name w:val="header"/>
    <w:basedOn w:val="Normal"/>
    <w:link w:val="HeaderChar"/>
    <w:uiPriority w:val="99"/>
    <w:unhideWhenUsed/>
    <w:rsid w:val="00337E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E2D"/>
  </w:style>
  <w:style w:type="paragraph" w:styleId="Footer">
    <w:name w:val="footer"/>
    <w:basedOn w:val="Normal"/>
    <w:link w:val="FooterChar"/>
    <w:uiPriority w:val="99"/>
    <w:unhideWhenUsed/>
    <w:rsid w:val="00337E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E2D"/>
  </w:style>
  <w:style w:type="table" w:styleId="TableGrid">
    <w:name w:val="Table Grid"/>
    <w:basedOn w:val="TableNormal"/>
    <w:uiPriority w:val="59"/>
    <w:rsid w:val="00337E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 Paragraph]"/>
    <w:basedOn w:val="Normal"/>
    <w:uiPriority w:val="99"/>
    <w:rsid w:val="00DF40EF"/>
    <w:pPr>
      <w:autoSpaceDE w:val="0"/>
      <w:autoSpaceDN w:val="0"/>
      <w:adjustRightInd w:val="0"/>
      <w:spacing w:after="0"/>
      <w:textAlignment w:val="center"/>
    </w:pPr>
    <w:rPr>
      <w:rFonts w:ascii="Times Regular" w:hAnsi="Times Regular" w:cs="Times Regular"/>
      <w:color w:val="000000"/>
      <w:sz w:val="24"/>
      <w:szCs w:val="24"/>
    </w:rPr>
  </w:style>
  <w:style w:type="character" w:styleId="Hyperlink">
    <w:name w:val="Hyperlink"/>
    <w:basedOn w:val="DefaultParagraphFont"/>
    <w:uiPriority w:val="99"/>
    <w:unhideWhenUsed/>
    <w:rsid w:val="00DD01C5"/>
    <w:rPr>
      <w:color w:val="0000FF" w:themeColor="hyperlink"/>
      <w:u w:val="single"/>
    </w:rPr>
  </w:style>
  <w:style w:type="paragraph" w:styleId="NoSpacing">
    <w:name w:val="No Spacing"/>
    <w:uiPriority w:val="1"/>
    <w:qFormat/>
    <w:rsid w:val="00842C4C"/>
    <w:pPr>
      <w:spacing w:after="0" w:line="288" w:lineRule="auto"/>
    </w:pPr>
    <w:rPr>
      <w:sz w:val="26"/>
    </w:rPr>
  </w:style>
  <w:style w:type="character" w:customStyle="1" w:styleId="Letterhead">
    <w:name w:val="Letterhead"/>
    <w:uiPriority w:val="1"/>
    <w:qFormat/>
    <w:rsid w:val="00C86D57"/>
    <w:rPr>
      <w:rFonts w:ascii="VAG Rounded Light" w:hAnsi="VAG Rounded Light" w:cs="VAG Rounded Light"/>
      <w:vanish w:val="0"/>
      <w:color w:val="828587"/>
      <w:spacing w:val="1"/>
      <w:sz w:val="16"/>
      <w:szCs w:val="16"/>
    </w:rPr>
  </w:style>
  <w:style w:type="paragraph" w:styleId="ListParagraph">
    <w:name w:val="List Paragraph"/>
    <w:basedOn w:val="Normal"/>
    <w:link w:val="ListParagraphChar"/>
    <w:uiPriority w:val="34"/>
    <w:qFormat/>
    <w:rsid w:val="001B6BCC"/>
    <w:pPr>
      <w:spacing w:line="276" w:lineRule="auto"/>
      <w:ind w:left="720"/>
      <w:contextualSpacing/>
    </w:pPr>
    <w:rPr>
      <w:sz w:val="22"/>
    </w:rPr>
  </w:style>
  <w:style w:type="table" w:customStyle="1" w:styleId="TableGrid1">
    <w:name w:val="Table Grid1"/>
    <w:basedOn w:val="TableNormal"/>
    <w:next w:val="TableGrid"/>
    <w:uiPriority w:val="59"/>
    <w:locked/>
    <w:rsid w:val="0016091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vent-orphans">
    <w:name w:val="prevent-orphans"/>
    <w:basedOn w:val="Normal"/>
    <w:rsid w:val="007A11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086D3E"/>
    <w:rPr>
      <w:rFonts w:asciiTheme="majorHAnsi" w:eastAsiaTheme="majorEastAsia" w:hAnsiTheme="majorHAnsi" w:cstheme="majorBidi"/>
      <w:b/>
      <w:bCs/>
      <w:color w:val="FF6300" w:themeColor="accent1"/>
      <w:sz w:val="26"/>
      <w:szCs w:val="26"/>
    </w:rPr>
  </w:style>
  <w:style w:type="paragraph" w:styleId="Title">
    <w:name w:val="Title"/>
    <w:basedOn w:val="Normal"/>
    <w:next w:val="Normal"/>
    <w:link w:val="TitleChar"/>
    <w:uiPriority w:val="10"/>
    <w:qFormat/>
    <w:rsid w:val="00086D3E"/>
    <w:pPr>
      <w:pBdr>
        <w:bottom w:val="single" w:sz="8" w:space="4" w:color="FF6300" w:themeColor="accent1"/>
      </w:pBdr>
      <w:spacing w:after="300" w:line="240" w:lineRule="auto"/>
      <w:contextualSpacing/>
    </w:pPr>
    <w:rPr>
      <w:rFonts w:asciiTheme="majorHAnsi" w:eastAsiaTheme="majorEastAsia" w:hAnsiTheme="majorHAnsi" w:cstheme="majorBidi"/>
      <w:color w:val="BF4A00" w:themeColor="text2" w:themeShade="BF"/>
      <w:spacing w:val="5"/>
      <w:kern w:val="28"/>
      <w:sz w:val="52"/>
      <w:szCs w:val="52"/>
    </w:rPr>
  </w:style>
  <w:style w:type="character" w:customStyle="1" w:styleId="TitleChar">
    <w:name w:val="Title Char"/>
    <w:basedOn w:val="DefaultParagraphFont"/>
    <w:link w:val="Title"/>
    <w:uiPriority w:val="10"/>
    <w:rsid w:val="00086D3E"/>
    <w:rPr>
      <w:rFonts w:asciiTheme="majorHAnsi" w:eastAsiaTheme="majorEastAsia" w:hAnsiTheme="majorHAnsi" w:cstheme="majorBidi"/>
      <w:color w:val="BF4A00" w:themeColor="text2" w:themeShade="BF"/>
      <w:spacing w:val="5"/>
      <w:kern w:val="28"/>
      <w:sz w:val="52"/>
      <w:szCs w:val="52"/>
    </w:rPr>
  </w:style>
  <w:style w:type="character" w:styleId="SubtleEmphasis">
    <w:name w:val="Subtle Emphasis"/>
    <w:basedOn w:val="DefaultParagraphFont"/>
    <w:uiPriority w:val="19"/>
    <w:qFormat/>
    <w:rsid w:val="00086D3E"/>
    <w:rPr>
      <w:i/>
      <w:iCs/>
      <w:color w:val="B5B7B8" w:themeColor="text1" w:themeTint="7F"/>
    </w:rPr>
  </w:style>
  <w:style w:type="character" w:styleId="Emphasis">
    <w:name w:val="Emphasis"/>
    <w:basedOn w:val="DefaultParagraphFont"/>
    <w:uiPriority w:val="20"/>
    <w:qFormat/>
    <w:rsid w:val="00086D3E"/>
    <w:rPr>
      <w:i/>
      <w:iCs/>
    </w:rPr>
  </w:style>
  <w:style w:type="character" w:styleId="IntenseEmphasis">
    <w:name w:val="Intense Emphasis"/>
    <w:basedOn w:val="DefaultParagraphFont"/>
    <w:uiPriority w:val="21"/>
    <w:qFormat/>
    <w:rsid w:val="00086D3E"/>
    <w:rPr>
      <w:b/>
      <w:bCs/>
      <w:i/>
      <w:iCs/>
      <w:color w:val="FF6300" w:themeColor="accent1"/>
    </w:rPr>
  </w:style>
  <w:style w:type="paragraph" w:customStyle="1" w:styleId="Bulletsubheadlist">
    <w:name w:val="Bullet subhead list"/>
    <w:basedOn w:val="ListParagraph"/>
    <w:link w:val="BulletsubheadlistChar"/>
    <w:qFormat/>
    <w:rsid w:val="00086D3E"/>
    <w:pPr>
      <w:numPr>
        <w:numId w:val="34"/>
      </w:numPr>
      <w:spacing w:line="288" w:lineRule="auto"/>
    </w:pPr>
    <w:rPr>
      <w:lang w:eastAsia="en-GB"/>
    </w:rPr>
  </w:style>
  <w:style w:type="character" w:customStyle="1" w:styleId="ListParagraphChar">
    <w:name w:val="List Paragraph Char"/>
    <w:basedOn w:val="DefaultParagraphFont"/>
    <w:link w:val="ListParagraph"/>
    <w:uiPriority w:val="34"/>
    <w:rsid w:val="00086D3E"/>
  </w:style>
  <w:style w:type="character" w:customStyle="1" w:styleId="BulletsubheadlistChar">
    <w:name w:val="Bullet subhead list Char"/>
    <w:basedOn w:val="ListParagraphChar"/>
    <w:link w:val="Bulletsubheadlist"/>
    <w:rsid w:val="00086D3E"/>
    <w:rPr>
      <w:lang w:eastAsia="en-GB"/>
    </w:rPr>
  </w:style>
  <w:style w:type="character" w:styleId="Strong">
    <w:name w:val="Strong"/>
    <w:basedOn w:val="DefaultParagraphFont"/>
    <w:uiPriority w:val="22"/>
    <w:qFormat/>
    <w:rsid w:val="00086D3E"/>
    <w:rPr>
      <w:b/>
      <w:bCs/>
    </w:rPr>
  </w:style>
  <w:style w:type="character" w:styleId="CommentReference">
    <w:name w:val="annotation reference"/>
    <w:basedOn w:val="DefaultParagraphFont"/>
    <w:uiPriority w:val="99"/>
    <w:semiHidden/>
    <w:unhideWhenUsed/>
    <w:rsid w:val="00086D3E"/>
    <w:rPr>
      <w:sz w:val="16"/>
      <w:szCs w:val="16"/>
    </w:rPr>
  </w:style>
  <w:style w:type="paragraph" w:customStyle="1" w:styleId="Default">
    <w:name w:val="Default"/>
    <w:rsid w:val="00086D3E"/>
    <w:pPr>
      <w:autoSpaceDE w:val="0"/>
      <w:autoSpaceDN w:val="0"/>
      <w:adjustRightInd w:val="0"/>
      <w:spacing w:after="0" w:line="240" w:lineRule="auto"/>
    </w:pPr>
    <w:rPr>
      <w:rFonts w:ascii="Verdana" w:hAnsi="Verdana" w:cs="Verdana"/>
      <w:color w:val="000000"/>
      <w:sz w:val="24"/>
      <w:szCs w:val="24"/>
    </w:rPr>
  </w:style>
  <w:style w:type="paragraph" w:styleId="PlainText">
    <w:name w:val="Plain Text"/>
    <w:basedOn w:val="Normal"/>
    <w:link w:val="PlainTextChar"/>
    <w:uiPriority w:val="99"/>
    <w:semiHidden/>
    <w:unhideWhenUsed/>
    <w:rsid w:val="00FE60EE"/>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FE60EE"/>
    <w:rPr>
      <w:rFonts w:ascii="Calibri" w:hAnsi="Calibri"/>
      <w:szCs w:val="21"/>
    </w:rPr>
  </w:style>
  <w:style w:type="character" w:styleId="PageNumber">
    <w:name w:val="page number"/>
    <w:basedOn w:val="DefaultParagraphFont"/>
    <w:uiPriority w:val="99"/>
    <w:semiHidden/>
    <w:unhideWhenUsed/>
    <w:rsid w:val="008B1F31"/>
  </w:style>
  <w:style w:type="character" w:styleId="FollowedHyperlink">
    <w:name w:val="FollowedHyperlink"/>
    <w:basedOn w:val="DefaultParagraphFont"/>
    <w:uiPriority w:val="99"/>
    <w:semiHidden/>
    <w:unhideWhenUsed/>
    <w:rsid w:val="00196D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825827">
      <w:bodyDiv w:val="1"/>
      <w:marLeft w:val="0"/>
      <w:marRight w:val="0"/>
      <w:marTop w:val="0"/>
      <w:marBottom w:val="0"/>
      <w:divBdr>
        <w:top w:val="none" w:sz="0" w:space="0" w:color="auto"/>
        <w:left w:val="none" w:sz="0" w:space="0" w:color="auto"/>
        <w:bottom w:val="none" w:sz="0" w:space="0" w:color="auto"/>
        <w:right w:val="none" w:sz="0" w:space="0" w:color="auto"/>
      </w:divBdr>
      <w:divsChild>
        <w:div w:id="626082695">
          <w:marLeft w:val="446"/>
          <w:marRight w:val="0"/>
          <w:marTop w:val="0"/>
          <w:marBottom w:val="0"/>
          <w:divBdr>
            <w:top w:val="none" w:sz="0" w:space="0" w:color="auto"/>
            <w:left w:val="none" w:sz="0" w:space="0" w:color="auto"/>
            <w:bottom w:val="none" w:sz="0" w:space="0" w:color="auto"/>
            <w:right w:val="none" w:sz="0" w:space="0" w:color="auto"/>
          </w:divBdr>
        </w:div>
        <w:div w:id="1989477498">
          <w:marLeft w:val="446"/>
          <w:marRight w:val="0"/>
          <w:marTop w:val="0"/>
          <w:marBottom w:val="0"/>
          <w:divBdr>
            <w:top w:val="none" w:sz="0" w:space="0" w:color="auto"/>
            <w:left w:val="none" w:sz="0" w:space="0" w:color="auto"/>
            <w:bottom w:val="none" w:sz="0" w:space="0" w:color="auto"/>
            <w:right w:val="none" w:sz="0" w:space="0" w:color="auto"/>
          </w:divBdr>
        </w:div>
        <w:div w:id="67119183">
          <w:marLeft w:val="446"/>
          <w:marRight w:val="0"/>
          <w:marTop w:val="0"/>
          <w:marBottom w:val="0"/>
          <w:divBdr>
            <w:top w:val="none" w:sz="0" w:space="0" w:color="auto"/>
            <w:left w:val="none" w:sz="0" w:space="0" w:color="auto"/>
            <w:bottom w:val="none" w:sz="0" w:space="0" w:color="auto"/>
            <w:right w:val="none" w:sz="0" w:space="0" w:color="auto"/>
          </w:divBdr>
        </w:div>
        <w:div w:id="1168443944">
          <w:marLeft w:val="446"/>
          <w:marRight w:val="0"/>
          <w:marTop w:val="0"/>
          <w:marBottom w:val="0"/>
          <w:divBdr>
            <w:top w:val="none" w:sz="0" w:space="0" w:color="auto"/>
            <w:left w:val="none" w:sz="0" w:space="0" w:color="auto"/>
            <w:bottom w:val="none" w:sz="0" w:space="0" w:color="auto"/>
            <w:right w:val="none" w:sz="0" w:space="0" w:color="auto"/>
          </w:divBdr>
        </w:div>
        <w:div w:id="946425247">
          <w:marLeft w:val="446"/>
          <w:marRight w:val="0"/>
          <w:marTop w:val="0"/>
          <w:marBottom w:val="0"/>
          <w:divBdr>
            <w:top w:val="none" w:sz="0" w:space="0" w:color="auto"/>
            <w:left w:val="none" w:sz="0" w:space="0" w:color="auto"/>
            <w:bottom w:val="none" w:sz="0" w:space="0" w:color="auto"/>
            <w:right w:val="none" w:sz="0" w:space="0" w:color="auto"/>
          </w:divBdr>
        </w:div>
        <w:div w:id="68231156">
          <w:marLeft w:val="446"/>
          <w:marRight w:val="0"/>
          <w:marTop w:val="0"/>
          <w:marBottom w:val="0"/>
          <w:divBdr>
            <w:top w:val="none" w:sz="0" w:space="0" w:color="auto"/>
            <w:left w:val="none" w:sz="0" w:space="0" w:color="auto"/>
            <w:bottom w:val="none" w:sz="0" w:space="0" w:color="auto"/>
            <w:right w:val="none" w:sz="0" w:space="0" w:color="auto"/>
          </w:divBdr>
        </w:div>
        <w:div w:id="57485621">
          <w:marLeft w:val="446"/>
          <w:marRight w:val="0"/>
          <w:marTop w:val="0"/>
          <w:marBottom w:val="0"/>
          <w:divBdr>
            <w:top w:val="none" w:sz="0" w:space="0" w:color="auto"/>
            <w:left w:val="none" w:sz="0" w:space="0" w:color="auto"/>
            <w:bottom w:val="none" w:sz="0" w:space="0" w:color="auto"/>
            <w:right w:val="none" w:sz="0" w:space="0" w:color="auto"/>
          </w:divBdr>
        </w:div>
        <w:div w:id="678119822">
          <w:marLeft w:val="446"/>
          <w:marRight w:val="0"/>
          <w:marTop w:val="0"/>
          <w:marBottom w:val="0"/>
          <w:divBdr>
            <w:top w:val="none" w:sz="0" w:space="0" w:color="auto"/>
            <w:left w:val="none" w:sz="0" w:space="0" w:color="auto"/>
            <w:bottom w:val="none" w:sz="0" w:space="0" w:color="auto"/>
            <w:right w:val="none" w:sz="0" w:space="0" w:color="auto"/>
          </w:divBdr>
        </w:div>
        <w:div w:id="442455686">
          <w:marLeft w:val="446"/>
          <w:marRight w:val="0"/>
          <w:marTop w:val="0"/>
          <w:marBottom w:val="0"/>
          <w:divBdr>
            <w:top w:val="none" w:sz="0" w:space="0" w:color="auto"/>
            <w:left w:val="none" w:sz="0" w:space="0" w:color="auto"/>
            <w:bottom w:val="none" w:sz="0" w:space="0" w:color="auto"/>
            <w:right w:val="none" w:sz="0" w:space="0" w:color="auto"/>
          </w:divBdr>
        </w:div>
        <w:div w:id="438530452">
          <w:marLeft w:val="446"/>
          <w:marRight w:val="0"/>
          <w:marTop w:val="0"/>
          <w:marBottom w:val="0"/>
          <w:divBdr>
            <w:top w:val="none" w:sz="0" w:space="0" w:color="auto"/>
            <w:left w:val="none" w:sz="0" w:space="0" w:color="auto"/>
            <w:bottom w:val="none" w:sz="0" w:space="0" w:color="auto"/>
            <w:right w:val="none" w:sz="0" w:space="0" w:color="auto"/>
          </w:divBdr>
        </w:div>
        <w:div w:id="1166819668">
          <w:marLeft w:val="446"/>
          <w:marRight w:val="0"/>
          <w:marTop w:val="0"/>
          <w:marBottom w:val="0"/>
          <w:divBdr>
            <w:top w:val="none" w:sz="0" w:space="0" w:color="auto"/>
            <w:left w:val="none" w:sz="0" w:space="0" w:color="auto"/>
            <w:bottom w:val="none" w:sz="0" w:space="0" w:color="auto"/>
            <w:right w:val="none" w:sz="0" w:space="0" w:color="auto"/>
          </w:divBdr>
        </w:div>
      </w:divsChild>
    </w:div>
    <w:div w:id="1415971899">
      <w:bodyDiv w:val="1"/>
      <w:marLeft w:val="0"/>
      <w:marRight w:val="0"/>
      <w:marTop w:val="0"/>
      <w:marBottom w:val="0"/>
      <w:divBdr>
        <w:top w:val="none" w:sz="0" w:space="0" w:color="auto"/>
        <w:left w:val="none" w:sz="0" w:space="0" w:color="auto"/>
        <w:bottom w:val="none" w:sz="0" w:space="0" w:color="auto"/>
        <w:right w:val="none" w:sz="0" w:space="0" w:color="auto"/>
      </w:divBdr>
    </w:div>
    <w:div w:id="1891064757">
      <w:bodyDiv w:val="1"/>
      <w:marLeft w:val="0"/>
      <w:marRight w:val="0"/>
      <w:marTop w:val="0"/>
      <w:marBottom w:val="0"/>
      <w:divBdr>
        <w:top w:val="none" w:sz="0" w:space="0" w:color="auto"/>
        <w:left w:val="none" w:sz="0" w:space="0" w:color="auto"/>
        <w:bottom w:val="none" w:sz="0" w:space="0" w:color="auto"/>
        <w:right w:val="none" w:sz="0" w:space="0" w:color="auto"/>
      </w:divBdr>
      <w:divsChild>
        <w:div w:id="1897741612">
          <w:marLeft w:val="533"/>
          <w:marRight w:val="0"/>
          <w:marTop w:val="115"/>
          <w:marBottom w:val="0"/>
          <w:divBdr>
            <w:top w:val="none" w:sz="0" w:space="0" w:color="auto"/>
            <w:left w:val="none" w:sz="0" w:space="0" w:color="auto"/>
            <w:bottom w:val="none" w:sz="0" w:space="0" w:color="auto"/>
            <w:right w:val="none" w:sz="0" w:space="0" w:color="auto"/>
          </w:divBdr>
        </w:div>
        <w:div w:id="1124075506">
          <w:marLeft w:val="533"/>
          <w:marRight w:val="0"/>
          <w:marTop w:val="115"/>
          <w:marBottom w:val="0"/>
          <w:divBdr>
            <w:top w:val="none" w:sz="0" w:space="0" w:color="auto"/>
            <w:left w:val="none" w:sz="0" w:space="0" w:color="auto"/>
            <w:bottom w:val="none" w:sz="0" w:space="0" w:color="auto"/>
            <w:right w:val="none" w:sz="0" w:space="0" w:color="auto"/>
          </w:divBdr>
        </w:div>
        <w:div w:id="1933119956">
          <w:marLeft w:val="533"/>
          <w:marRight w:val="0"/>
          <w:marTop w:val="115"/>
          <w:marBottom w:val="0"/>
          <w:divBdr>
            <w:top w:val="none" w:sz="0" w:space="0" w:color="auto"/>
            <w:left w:val="none" w:sz="0" w:space="0" w:color="auto"/>
            <w:bottom w:val="none" w:sz="0" w:space="0" w:color="auto"/>
            <w:right w:val="none" w:sz="0" w:space="0" w:color="auto"/>
          </w:divBdr>
        </w:div>
      </w:divsChild>
    </w:div>
    <w:div w:id="195050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ur-lex.europa.eu/legal-content/EN/TXT/?uri=celex:31995L0046" TargetMode="External"/><Relationship Id="rId20" Type="http://schemas.openxmlformats.org/officeDocument/2006/relationships/header" Target="header2.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header" Target="header3.xml"/><Relationship Id="rId24" Type="http://schemas.openxmlformats.org/officeDocument/2006/relationships/footer" Target="footer3.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eur-lex.europa.eu/LexUriServ/LexUriServ.do?uri=CELEX:32000D0520:EN:HTML" TargetMode="External"/><Relationship Id="rId11" Type="http://schemas.openxmlformats.org/officeDocument/2006/relationships/hyperlink" Target="http://curia.europa.eu/juris/document/document.jsf?text=&amp;docid=169195&amp;pageIndex=0&amp;doclang=en&amp;mode=req&amp;dir=&amp;occ=first&amp;part=1&amp;cid=7666" TargetMode="External"/><Relationship Id="rId12" Type="http://schemas.openxmlformats.org/officeDocument/2006/relationships/hyperlink" Target="http://europa.eu/rapid/press-release_IP-16-2461_en.htm" TargetMode="External"/><Relationship Id="rId13" Type="http://schemas.openxmlformats.org/officeDocument/2006/relationships/hyperlink" Target="http://europa.eu/rapid/press-release_IP-16-2461_en.htm" TargetMode="External"/><Relationship Id="rId14" Type="http://schemas.openxmlformats.org/officeDocument/2006/relationships/hyperlink" Target="https://ico.org.uk/media/1529/assessing_adequacy_international_data_transfers.pdf" TargetMode="External"/><Relationship Id="rId15" Type="http://schemas.openxmlformats.org/officeDocument/2006/relationships/hyperlink" Target="https://ico.org.uk/media/1571/model_contract_clauses_international_transfers_of_personal_data.pdf" TargetMode="External"/><Relationship Id="rId16" Type="http://schemas.openxmlformats.org/officeDocument/2006/relationships/hyperlink" Target="https://ico.org.uk/for-organisations/binding-corporate-rules/" TargetMode="External"/><Relationship Id="rId17" Type="http://schemas.openxmlformats.org/officeDocument/2006/relationships/hyperlink" Target="http://www.iabuk.net/policy/issues" TargetMode="External"/><Relationship Id="rId18" Type="http://schemas.openxmlformats.org/officeDocument/2006/relationships/hyperlink" Target="http://www.iabuk.net/"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1 iab Orange">
      <a:dk1>
        <a:srgbClr val="6C6F70"/>
      </a:dk1>
      <a:lt1>
        <a:sysClr val="window" lastClr="FFFFFF"/>
      </a:lt1>
      <a:dk2>
        <a:srgbClr val="FF6300"/>
      </a:dk2>
      <a:lt2>
        <a:srgbClr val="CCCCCC"/>
      </a:lt2>
      <a:accent1>
        <a:srgbClr val="FF6300"/>
      </a:accent1>
      <a:accent2>
        <a:srgbClr val="0086CB"/>
      </a:accent2>
      <a:accent3>
        <a:srgbClr val="F0027F"/>
      </a:accent3>
      <a:accent4>
        <a:srgbClr val="F9A61A"/>
      </a:accent4>
      <a:accent5>
        <a:srgbClr val="B3AD00"/>
      </a:accent5>
      <a:accent6>
        <a:srgbClr val="9A0174"/>
      </a:accent6>
      <a:hlink>
        <a:srgbClr val="0000FF"/>
      </a:hlink>
      <a:folHlink>
        <a:srgbClr val="800080"/>
      </a:folHlink>
    </a:clrScheme>
    <a:fontScheme name="iab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7C5B2-86E3-1F4E-8770-A6732C6B5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798</Words>
  <Characters>4553</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Sophia</dc:creator>
  <cp:lastModifiedBy>Bradley Moss</cp:lastModifiedBy>
  <cp:revision>2</cp:revision>
  <cp:lastPrinted>2016-01-13T16:45:00Z</cp:lastPrinted>
  <dcterms:created xsi:type="dcterms:W3CDTF">2016-07-20T16:12:00Z</dcterms:created>
  <dcterms:modified xsi:type="dcterms:W3CDTF">2016-07-20T16:12:00Z</dcterms:modified>
</cp:coreProperties>
</file>